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66212" w14:textId="77777777" w:rsidR="00D30253" w:rsidRPr="000E03C5" w:rsidRDefault="00D30253" w:rsidP="00D30253">
      <w:pPr>
        <w:rPr>
          <w:b/>
          <w:color w:val="000000" w:themeColor="text1"/>
          <w:sz w:val="24"/>
          <w:szCs w:val="24"/>
        </w:rPr>
      </w:pPr>
      <w:r w:rsidRPr="000E03C5">
        <w:rPr>
          <w:b/>
          <w:noProof/>
          <w:color w:val="000000" w:themeColor="text1"/>
          <w:lang w:eastAsia="en-GB"/>
        </w:rPr>
        <w:drawing>
          <wp:anchor distT="0" distB="0" distL="114300" distR="114300" simplePos="0" relativeHeight="251658240" behindDoc="0" locked="0" layoutInCell="1" allowOverlap="1" wp14:anchorId="2FAF659B" wp14:editId="76D9BDE0">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40DD0E1A" w14:textId="77777777" w:rsidR="00D30253" w:rsidRPr="000E03C5" w:rsidRDefault="00D30253" w:rsidP="00D30253">
      <w:pPr>
        <w:rPr>
          <w:b/>
          <w:color w:val="000000" w:themeColor="text1"/>
          <w:sz w:val="24"/>
          <w:szCs w:val="24"/>
        </w:rPr>
      </w:pPr>
    </w:p>
    <w:p w14:paraId="7B72D2CF" w14:textId="77777777" w:rsidR="001663F0" w:rsidRPr="000E03C5" w:rsidRDefault="001663F0" w:rsidP="00D30253">
      <w:pPr>
        <w:rPr>
          <w:b/>
          <w:color w:val="000000" w:themeColor="text1"/>
          <w:sz w:val="24"/>
          <w:szCs w:val="24"/>
        </w:rPr>
      </w:pPr>
    </w:p>
    <w:p w14:paraId="7F0E4775" w14:textId="77777777" w:rsidR="002D329D" w:rsidRPr="000E03C5" w:rsidRDefault="002D329D" w:rsidP="00D30253">
      <w:pPr>
        <w:rPr>
          <w:b/>
          <w:color w:val="000000" w:themeColor="text1"/>
          <w:sz w:val="24"/>
          <w:szCs w:val="24"/>
        </w:rPr>
      </w:pPr>
    </w:p>
    <w:tbl>
      <w:tblPr>
        <w:tblStyle w:val="MediumList2-Accent1"/>
        <w:tblW w:w="0" w:type="auto"/>
        <w:tblLook w:val="04A0" w:firstRow="1" w:lastRow="0" w:firstColumn="1" w:lastColumn="0" w:noHBand="0" w:noVBand="1"/>
      </w:tblPr>
      <w:tblGrid>
        <w:gridCol w:w="2376"/>
        <w:gridCol w:w="6866"/>
      </w:tblGrid>
      <w:tr w:rsidR="000E03C5" w:rsidRPr="000E03C5" w14:paraId="4063F748" w14:textId="77777777" w:rsidTr="00B26342">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61D841DF" w14:textId="77777777" w:rsidR="00D30253" w:rsidRPr="000E03C5" w:rsidRDefault="009B2F26" w:rsidP="006D3E7F">
            <w:pPr>
              <w:spacing w:line="360" w:lineRule="auto"/>
              <w:rPr>
                <w:b/>
                <w:sz w:val="28"/>
                <w:szCs w:val="28"/>
              </w:rPr>
            </w:pPr>
            <w:r w:rsidRPr="000E03C5">
              <w:rPr>
                <w:sz w:val="28"/>
                <w:szCs w:val="28"/>
              </w:rPr>
              <w:t>Nominations and Remuneration</w:t>
            </w:r>
            <w:r w:rsidR="00A87B53" w:rsidRPr="000E03C5">
              <w:rPr>
                <w:sz w:val="28"/>
                <w:szCs w:val="28"/>
              </w:rPr>
              <w:t xml:space="preserve"> Committee Meeting</w:t>
            </w:r>
          </w:p>
        </w:tc>
      </w:tr>
      <w:tr w:rsidR="000E03C5" w:rsidRPr="000E03C5" w14:paraId="2E828EDA"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561254E1" w14:textId="77777777" w:rsidR="00D30253" w:rsidRPr="000E03C5" w:rsidRDefault="00D30253" w:rsidP="00B26342">
            <w:pPr>
              <w:spacing w:line="360" w:lineRule="auto"/>
            </w:pPr>
            <w:r w:rsidRPr="000E03C5">
              <w:t>Date</w:t>
            </w:r>
            <w:r w:rsidR="00A25B32" w:rsidRPr="000E03C5">
              <w:t xml:space="preserve"> of M</w:t>
            </w:r>
            <w:r w:rsidR="00B26342" w:rsidRPr="000E03C5">
              <w:t xml:space="preserve">eeting </w:t>
            </w:r>
          </w:p>
        </w:tc>
        <w:tc>
          <w:tcPr>
            <w:tcW w:w="6866" w:type="dxa"/>
            <w:tcBorders>
              <w:top w:val="single" w:sz="4" w:space="0" w:color="548DD4" w:themeColor="text2" w:themeTint="99"/>
              <w:right w:val="nil"/>
            </w:tcBorders>
          </w:tcPr>
          <w:p w14:paraId="184F1FC5" w14:textId="379D7F04" w:rsidR="00D30253" w:rsidRPr="000E03C5" w:rsidRDefault="00DB4B21" w:rsidP="007550AA">
            <w:pPr>
              <w:spacing w:line="360" w:lineRule="auto"/>
              <w:cnfStyle w:val="000000100000" w:firstRow="0" w:lastRow="0" w:firstColumn="0" w:lastColumn="0" w:oddVBand="0" w:evenVBand="0" w:oddHBand="1" w:evenHBand="0" w:firstRowFirstColumn="0" w:firstRowLastColumn="0" w:lastRowFirstColumn="0" w:lastRowLastColumn="0"/>
            </w:pPr>
            <w:r>
              <w:t>Monday 1</w:t>
            </w:r>
            <w:r w:rsidR="00A111B3">
              <w:t xml:space="preserve"> </w:t>
            </w:r>
            <w:r>
              <w:t>July</w:t>
            </w:r>
            <w:r w:rsidR="00440B89">
              <w:t xml:space="preserve"> 201</w:t>
            </w:r>
            <w:r w:rsidR="00EB41A5">
              <w:t>9</w:t>
            </w:r>
          </w:p>
        </w:tc>
      </w:tr>
      <w:tr w:rsidR="000E03C5" w:rsidRPr="000E03C5" w14:paraId="2C85E2B6" w14:textId="77777777" w:rsidTr="00B26342">
        <w:tc>
          <w:tcPr>
            <w:cnfStyle w:val="001000000000" w:firstRow="0" w:lastRow="0" w:firstColumn="1" w:lastColumn="0" w:oddVBand="0" w:evenVBand="0" w:oddHBand="0" w:evenHBand="0" w:firstRowFirstColumn="0" w:firstRowLastColumn="0" w:lastRowFirstColumn="0" w:lastRowLastColumn="0"/>
            <w:tcW w:w="2376" w:type="dxa"/>
          </w:tcPr>
          <w:p w14:paraId="61AF0335" w14:textId="77777777" w:rsidR="00D30253" w:rsidRPr="000E03C5" w:rsidRDefault="00A25B32" w:rsidP="00B26342">
            <w:pPr>
              <w:spacing w:line="360" w:lineRule="auto"/>
            </w:pPr>
            <w:r w:rsidRPr="000E03C5">
              <w:t>Paper T</w:t>
            </w:r>
            <w:r w:rsidR="00B26342" w:rsidRPr="000E03C5">
              <w:t>itle</w:t>
            </w:r>
          </w:p>
        </w:tc>
        <w:tc>
          <w:tcPr>
            <w:tcW w:w="6866" w:type="dxa"/>
            <w:tcBorders>
              <w:top w:val="nil"/>
              <w:bottom w:val="nil"/>
              <w:right w:val="nil"/>
            </w:tcBorders>
          </w:tcPr>
          <w:p w14:paraId="121AE312" w14:textId="57639636" w:rsidR="00D30253" w:rsidRPr="000E03C5" w:rsidRDefault="00DB4B21" w:rsidP="00EB41A5">
            <w:pPr>
              <w:spacing w:line="360" w:lineRule="auto"/>
              <w:cnfStyle w:val="000000000000" w:firstRow="0" w:lastRow="0" w:firstColumn="0" w:lastColumn="0" w:oddVBand="0" w:evenVBand="0" w:oddHBand="0" w:evenHBand="0" w:firstRowFirstColumn="0" w:firstRowLastColumn="0" w:lastRowFirstColumn="0" w:lastRowLastColumn="0"/>
            </w:pPr>
            <w:r>
              <w:t>Draft Consultation Response – Gender Representation Act</w:t>
            </w:r>
          </w:p>
        </w:tc>
      </w:tr>
      <w:tr w:rsidR="000E03C5" w:rsidRPr="000E03C5" w14:paraId="1E697C17"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7572A4C" w14:textId="77777777" w:rsidR="00A25B32" w:rsidRPr="000E03C5" w:rsidRDefault="00A25B32" w:rsidP="00B26342">
            <w:pPr>
              <w:spacing w:line="360" w:lineRule="auto"/>
            </w:pPr>
            <w:r w:rsidRPr="000E03C5">
              <w:t>Agenda Item</w:t>
            </w:r>
          </w:p>
        </w:tc>
        <w:tc>
          <w:tcPr>
            <w:tcW w:w="6866" w:type="dxa"/>
            <w:tcBorders>
              <w:right w:val="nil"/>
            </w:tcBorders>
          </w:tcPr>
          <w:p w14:paraId="55FE78B4" w14:textId="0F417A27" w:rsidR="00A25B32" w:rsidRPr="000E03C5" w:rsidRDefault="00BA68BC" w:rsidP="00506DC7">
            <w:pPr>
              <w:spacing w:line="360" w:lineRule="auto"/>
              <w:cnfStyle w:val="000000100000" w:firstRow="0" w:lastRow="0" w:firstColumn="0" w:lastColumn="0" w:oddVBand="0" w:evenVBand="0" w:oddHBand="1" w:evenHBand="0" w:firstRowFirstColumn="0" w:firstRowLastColumn="0" w:lastRowFirstColumn="0" w:lastRowLastColumn="0"/>
            </w:pPr>
            <w:r>
              <w:t>7</w:t>
            </w:r>
          </w:p>
        </w:tc>
      </w:tr>
      <w:tr w:rsidR="000E03C5" w:rsidRPr="000E03C5" w14:paraId="55B5E960" w14:textId="77777777" w:rsidTr="00B26342">
        <w:tc>
          <w:tcPr>
            <w:cnfStyle w:val="001000000000" w:firstRow="0" w:lastRow="0" w:firstColumn="1" w:lastColumn="0" w:oddVBand="0" w:evenVBand="0" w:oddHBand="0" w:evenHBand="0" w:firstRowFirstColumn="0" w:firstRowLastColumn="0" w:lastRowFirstColumn="0" w:lastRowLastColumn="0"/>
            <w:tcW w:w="2376" w:type="dxa"/>
          </w:tcPr>
          <w:p w14:paraId="4FCA4B02" w14:textId="77777777" w:rsidR="00D30253" w:rsidRPr="000E03C5" w:rsidRDefault="00A25B32" w:rsidP="00B26342">
            <w:pPr>
              <w:spacing w:line="360" w:lineRule="auto"/>
            </w:pPr>
            <w:r w:rsidRPr="000E03C5">
              <w:t>Paper N</w:t>
            </w:r>
            <w:r w:rsidR="00D30253" w:rsidRPr="000E03C5">
              <w:t>umber</w:t>
            </w:r>
          </w:p>
        </w:tc>
        <w:tc>
          <w:tcPr>
            <w:tcW w:w="6866" w:type="dxa"/>
            <w:tcBorders>
              <w:right w:val="nil"/>
            </w:tcBorders>
          </w:tcPr>
          <w:p w14:paraId="1EAC5E9A" w14:textId="5DF7F312" w:rsidR="00D30253" w:rsidRPr="000E03C5" w:rsidRDefault="004F3E1C" w:rsidP="000E03C5">
            <w:pPr>
              <w:spacing w:line="360" w:lineRule="auto"/>
              <w:cnfStyle w:val="000000000000" w:firstRow="0" w:lastRow="0" w:firstColumn="0" w:lastColumn="0" w:oddVBand="0" w:evenVBand="0" w:oddHBand="0" w:evenHBand="0" w:firstRowFirstColumn="0" w:firstRowLastColumn="0" w:lastRowFirstColumn="0" w:lastRowLastColumn="0"/>
            </w:pPr>
            <w:r w:rsidRPr="000E03C5">
              <w:t>NRC</w:t>
            </w:r>
            <w:r w:rsidR="00BA68BC">
              <w:t>6-C</w:t>
            </w:r>
          </w:p>
        </w:tc>
      </w:tr>
      <w:tr w:rsidR="000E03C5" w:rsidRPr="000E03C5" w14:paraId="322253C3"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EC6E0E4" w14:textId="77777777" w:rsidR="00D30253" w:rsidRPr="000E03C5" w:rsidRDefault="00B26342" w:rsidP="00A25B32">
            <w:pPr>
              <w:spacing w:line="360" w:lineRule="auto"/>
            </w:pPr>
            <w:r w:rsidRPr="000E03C5">
              <w:t xml:space="preserve">Responsible </w:t>
            </w:r>
            <w:r w:rsidR="00A25B32" w:rsidRPr="000E03C5">
              <w:t>O</w:t>
            </w:r>
            <w:r w:rsidR="00D30253" w:rsidRPr="000E03C5">
              <w:t xml:space="preserve">fficer </w:t>
            </w:r>
          </w:p>
        </w:tc>
        <w:tc>
          <w:tcPr>
            <w:tcW w:w="6866" w:type="dxa"/>
            <w:tcBorders>
              <w:right w:val="nil"/>
            </w:tcBorders>
          </w:tcPr>
          <w:p w14:paraId="6EAE5C93" w14:textId="77777777" w:rsidR="00D30253" w:rsidRPr="000E03C5" w:rsidRDefault="00DE70FC" w:rsidP="000E03C5">
            <w:pPr>
              <w:spacing w:line="360" w:lineRule="auto"/>
              <w:cnfStyle w:val="000000100000" w:firstRow="0" w:lastRow="0" w:firstColumn="0" w:lastColumn="0" w:oddVBand="0" w:evenVBand="0" w:oddHBand="1" w:evenHBand="0" w:firstRowFirstColumn="0" w:firstRowLastColumn="0" w:lastRowFirstColumn="0" w:lastRowLastColumn="0"/>
            </w:pPr>
            <w:r>
              <w:t>Penny Davis, Board Secretary</w:t>
            </w:r>
          </w:p>
        </w:tc>
      </w:tr>
      <w:tr w:rsidR="000E03C5" w:rsidRPr="000E03C5" w14:paraId="2AC7433C" w14:textId="77777777" w:rsidTr="00B26342">
        <w:tc>
          <w:tcPr>
            <w:cnfStyle w:val="001000000000" w:firstRow="0" w:lastRow="0" w:firstColumn="1" w:lastColumn="0" w:oddVBand="0" w:evenVBand="0" w:oddHBand="0" w:evenHBand="0" w:firstRowFirstColumn="0" w:firstRowLastColumn="0" w:lastRowFirstColumn="0" w:lastRowLastColumn="0"/>
            <w:tcW w:w="2376" w:type="dxa"/>
          </w:tcPr>
          <w:p w14:paraId="69F42A17" w14:textId="77777777" w:rsidR="00D30253" w:rsidRPr="000E03C5" w:rsidRDefault="00D30253" w:rsidP="00B26342">
            <w:pPr>
              <w:spacing w:line="360" w:lineRule="auto"/>
            </w:pPr>
            <w:r w:rsidRPr="000E03C5">
              <w:t>Status</w:t>
            </w:r>
          </w:p>
        </w:tc>
        <w:tc>
          <w:tcPr>
            <w:tcW w:w="6866" w:type="dxa"/>
            <w:tcBorders>
              <w:right w:val="nil"/>
            </w:tcBorders>
          </w:tcPr>
          <w:p w14:paraId="56FFB4C8" w14:textId="77777777" w:rsidR="00D30253" w:rsidRPr="000E03C5" w:rsidRDefault="00DE70FC" w:rsidP="000D2B71">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p>
        </w:tc>
      </w:tr>
      <w:tr w:rsidR="000E03C5" w:rsidRPr="000E03C5" w14:paraId="5DFEC68D" w14:textId="77777777" w:rsidTr="00B26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396B21D3" w14:textId="77777777" w:rsidR="00D30253" w:rsidRPr="000E03C5" w:rsidRDefault="00D30253" w:rsidP="00B26342">
            <w:pPr>
              <w:spacing w:line="360" w:lineRule="auto"/>
            </w:pPr>
            <w:r w:rsidRPr="000E03C5">
              <w:t>Action</w:t>
            </w:r>
          </w:p>
        </w:tc>
        <w:tc>
          <w:tcPr>
            <w:tcW w:w="6866" w:type="dxa"/>
            <w:tcBorders>
              <w:bottom w:val="single" w:sz="8" w:space="0" w:color="4F81BD" w:themeColor="accent1"/>
              <w:right w:val="nil"/>
            </w:tcBorders>
          </w:tcPr>
          <w:p w14:paraId="5DFD6B00" w14:textId="1D45EC75" w:rsidR="00D30253" w:rsidRPr="000E03C5" w:rsidRDefault="003D462C" w:rsidP="00DB4B21">
            <w:pPr>
              <w:spacing w:line="360" w:lineRule="auto"/>
              <w:cnfStyle w:val="000000100000" w:firstRow="0" w:lastRow="0" w:firstColumn="0" w:lastColumn="0" w:oddVBand="0" w:evenVBand="0" w:oddHBand="1" w:evenHBand="0" w:firstRowFirstColumn="0" w:firstRowLastColumn="0" w:lastRowFirstColumn="0" w:lastRowLastColumn="0"/>
            </w:pPr>
            <w:r w:rsidRPr="000E03C5">
              <w:t xml:space="preserve">For </w:t>
            </w:r>
            <w:r w:rsidR="00DB4B21">
              <w:t>Decision</w:t>
            </w:r>
          </w:p>
        </w:tc>
      </w:tr>
    </w:tbl>
    <w:p w14:paraId="1213EA1D" w14:textId="77777777" w:rsidR="00B26342" w:rsidRPr="000E03C5" w:rsidRDefault="00B26342" w:rsidP="005630E1">
      <w:pPr>
        <w:rPr>
          <w:rFonts w:asciiTheme="majorHAnsi" w:hAnsiTheme="majorHAnsi"/>
          <w:b/>
          <w:color w:val="000000" w:themeColor="text1"/>
        </w:rPr>
      </w:pPr>
    </w:p>
    <w:p w14:paraId="21091AAD" w14:textId="77777777" w:rsidR="002D329D" w:rsidRPr="000E03C5" w:rsidRDefault="002D329D" w:rsidP="005630E1">
      <w:pPr>
        <w:rPr>
          <w:rFonts w:asciiTheme="majorHAnsi" w:hAnsiTheme="majorHAnsi"/>
          <w:b/>
          <w:color w:val="000000" w:themeColor="text1"/>
        </w:rPr>
      </w:pPr>
    </w:p>
    <w:p w14:paraId="755124E7" w14:textId="77777777" w:rsidR="00C95CD4" w:rsidRPr="000E03C5" w:rsidRDefault="005630E1" w:rsidP="00F21371">
      <w:pPr>
        <w:pStyle w:val="Paperparalevel1"/>
        <w:ind w:left="567" w:hanging="567"/>
        <w:rPr>
          <w:color w:val="000000" w:themeColor="text1"/>
        </w:rPr>
      </w:pPr>
      <w:r w:rsidRPr="000E03C5">
        <w:rPr>
          <w:color w:val="000000" w:themeColor="text1"/>
        </w:rPr>
        <w:t>Report Purpose</w:t>
      </w:r>
    </w:p>
    <w:p w14:paraId="4501ABC0" w14:textId="757E4C46" w:rsidR="003D462C" w:rsidRPr="000E03C5" w:rsidRDefault="00EB41A5" w:rsidP="00F21371">
      <w:pPr>
        <w:pStyle w:val="ListParagraph"/>
        <w:numPr>
          <w:ilvl w:val="1"/>
          <w:numId w:val="16"/>
        </w:numPr>
        <w:ind w:left="1134" w:hanging="567"/>
        <w:rPr>
          <w:color w:val="000000" w:themeColor="text1"/>
        </w:rPr>
      </w:pPr>
      <w:r>
        <w:rPr>
          <w:color w:val="000000" w:themeColor="text1"/>
        </w:rPr>
        <w:t>T</w:t>
      </w:r>
      <w:r w:rsidR="008D5D46">
        <w:rPr>
          <w:color w:val="000000" w:themeColor="text1"/>
        </w:rPr>
        <w:t xml:space="preserve">his report </w:t>
      </w:r>
      <w:r w:rsidR="00DB4B21">
        <w:rPr>
          <w:color w:val="000000" w:themeColor="text1"/>
        </w:rPr>
        <w:t xml:space="preserve">asks Members to agree GCRB’s response to the current consultation on the implementation of the Gender Representation on Public Boards (Scotland) Act 2018.  </w:t>
      </w:r>
      <w:r>
        <w:rPr>
          <w:color w:val="000000" w:themeColor="text1"/>
        </w:rPr>
        <w:t xml:space="preserve"> </w:t>
      </w:r>
    </w:p>
    <w:p w14:paraId="6C26CC13" w14:textId="77777777" w:rsidR="004F3E1C" w:rsidRPr="000E03C5" w:rsidRDefault="004F3E1C" w:rsidP="004F3E1C">
      <w:pPr>
        <w:pStyle w:val="ListParagraph"/>
        <w:ind w:left="1134"/>
        <w:rPr>
          <w:color w:val="000000" w:themeColor="text1"/>
        </w:rPr>
      </w:pPr>
    </w:p>
    <w:p w14:paraId="276FE140" w14:textId="77777777" w:rsidR="000E78CF" w:rsidRPr="000E03C5" w:rsidRDefault="005630E1" w:rsidP="00F21371">
      <w:pPr>
        <w:pStyle w:val="Paperparalevel1"/>
        <w:ind w:left="567" w:hanging="567"/>
        <w:rPr>
          <w:color w:val="000000" w:themeColor="text1"/>
        </w:rPr>
      </w:pPr>
      <w:r w:rsidRPr="000E03C5">
        <w:rPr>
          <w:color w:val="000000" w:themeColor="text1"/>
        </w:rPr>
        <w:t>Recommendations</w:t>
      </w:r>
    </w:p>
    <w:p w14:paraId="0A2120E8" w14:textId="77777777" w:rsidR="000E78CF" w:rsidRPr="000E03C5" w:rsidRDefault="000E78CF" w:rsidP="000E78CF">
      <w:pPr>
        <w:pStyle w:val="Paperparalevel1"/>
        <w:numPr>
          <w:ilvl w:val="0"/>
          <w:numId w:val="0"/>
        </w:numPr>
        <w:ind w:left="567"/>
        <w:rPr>
          <w:color w:val="000000" w:themeColor="text1"/>
        </w:rPr>
      </w:pPr>
    </w:p>
    <w:p w14:paraId="4EA8EB2D" w14:textId="0A9406F6" w:rsidR="00440B89" w:rsidRPr="00DB4B21" w:rsidRDefault="00FA288D" w:rsidP="00DB4B21">
      <w:pPr>
        <w:pStyle w:val="Paperparalevel1"/>
        <w:numPr>
          <w:ilvl w:val="1"/>
          <w:numId w:val="5"/>
        </w:numPr>
        <w:ind w:left="1134" w:hanging="567"/>
        <w:rPr>
          <w:b w:val="0"/>
          <w:color w:val="000000" w:themeColor="text1"/>
        </w:rPr>
      </w:pPr>
      <w:r w:rsidRPr="00DB4B21">
        <w:rPr>
          <w:b w:val="0"/>
          <w:color w:val="000000" w:themeColor="text1"/>
        </w:rPr>
        <w:t>The Committee is asked to</w:t>
      </w:r>
      <w:r w:rsidR="00580ED6" w:rsidRPr="00DB4B21">
        <w:rPr>
          <w:b w:val="0"/>
          <w:color w:val="000000" w:themeColor="text1"/>
        </w:rPr>
        <w:t xml:space="preserve"> </w:t>
      </w:r>
      <w:r w:rsidR="00DB4B21" w:rsidRPr="00DB4B21">
        <w:rPr>
          <w:color w:val="000000" w:themeColor="text1"/>
        </w:rPr>
        <w:t xml:space="preserve">consider </w:t>
      </w:r>
      <w:r w:rsidR="00DB4B21" w:rsidRPr="00DB4B21">
        <w:rPr>
          <w:b w:val="0"/>
          <w:color w:val="000000" w:themeColor="text1"/>
        </w:rPr>
        <w:t>and, as appropriate,</w:t>
      </w:r>
      <w:r w:rsidR="00DB4B21" w:rsidRPr="00DB4B21">
        <w:rPr>
          <w:color w:val="000000" w:themeColor="text1"/>
        </w:rPr>
        <w:t xml:space="preserve"> agree </w:t>
      </w:r>
      <w:r w:rsidR="00DB4B21" w:rsidRPr="00DB4B21">
        <w:rPr>
          <w:b w:val="0"/>
          <w:color w:val="000000" w:themeColor="text1"/>
        </w:rPr>
        <w:t>the draft response</w:t>
      </w:r>
      <w:r w:rsidR="00A111B3">
        <w:rPr>
          <w:b w:val="0"/>
          <w:color w:val="000000" w:themeColor="text1"/>
        </w:rPr>
        <w:t xml:space="preserve"> for submission via the online response form</w:t>
      </w:r>
      <w:r w:rsidR="00DB4B21" w:rsidRPr="00DB4B21">
        <w:rPr>
          <w:b w:val="0"/>
          <w:color w:val="000000" w:themeColor="text1"/>
        </w:rPr>
        <w:t>.</w:t>
      </w:r>
      <w:r w:rsidR="00DB4B21">
        <w:rPr>
          <w:color w:val="000000" w:themeColor="text1"/>
        </w:rPr>
        <w:t xml:space="preserve"> </w:t>
      </w:r>
    </w:p>
    <w:p w14:paraId="02F5C1D4" w14:textId="77777777" w:rsidR="00DB4B21" w:rsidRPr="000E03C5" w:rsidRDefault="00DB4B21" w:rsidP="00DB4B21">
      <w:pPr>
        <w:pStyle w:val="Paperparalevel1"/>
        <w:numPr>
          <w:ilvl w:val="0"/>
          <w:numId w:val="0"/>
        </w:numPr>
        <w:ind w:left="1134"/>
        <w:rPr>
          <w:b w:val="0"/>
          <w:color w:val="000000" w:themeColor="text1"/>
        </w:rPr>
      </w:pPr>
    </w:p>
    <w:p w14:paraId="4152F65D" w14:textId="72526FB6" w:rsidR="00580ED6" w:rsidRDefault="00BA68BC" w:rsidP="00BA68BC">
      <w:pPr>
        <w:pStyle w:val="Paperparalevel1"/>
        <w:numPr>
          <w:ilvl w:val="0"/>
          <w:numId w:val="0"/>
        </w:numPr>
        <w:rPr>
          <w:color w:val="000000" w:themeColor="text1"/>
        </w:rPr>
      </w:pPr>
      <w:r>
        <w:rPr>
          <w:color w:val="000000" w:themeColor="text1"/>
        </w:rPr>
        <w:t>3.</w:t>
      </w:r>
      <w:r>
        <w:rPr>
          <w:color w:val="000000" w:themeColor="text1"/>
        </w:rPr>
        <w:tab/>
      </w:r>
      <w:r w:rsidR="000A057E" w:rsidRPr="000E03C5">
        <w:rPr>
          <w:color w:val="000000" w:themeColor="text1"/>
        </w:rPr>
        <w:t>Background</w:t>
      </w:r>
    </w:p>
    <w:p w14:paraId="57F0A2F7" w14:textId="77777777" w:rsidR="006E259E" w:rsidRDefault="006E259E" w:rsidP="006E259E">
      <w:pPr>
        <w:pStyle w:val="Paperparalevel1"/>
        <w:numPr>
          <w:ilvl w:val="0"/>
          <w:numId w:val="0"/>
        </w:numPr>
        <w:ind w:left="567"/>
        <w:rPr>
          <w:color w:val="000000" w:themeColor="text1"/>
        </w:rPr>
      </w:pPr>
    </w:p>
    <w:p w14:paraId="7FC7E56A" w14:textId="7A79176B" w:rsidR="006E259E" w:rsidRPr="00A111B3" w:rsidRDefault="006E259E" w:rsidP="00BA68BC">
      <w:pPr>
        <w:pStyle w:val="Paperparalevel1"/>
        <w:numPr>
          <w:ilvl w:val="1"/>
          <w:numId w:val="37"/>
        </w:numPr>
        <w:ind w:left="1134" w:hanging="567"/>
        <w:rPr>
          <w:i/>
          <w:color w:val="000000" w:themeColor="text1"/>
        </w:rPr>
      </w:pPr>
      <w:r w:rsidRPr="006E259E">
        <w:rPr>
          <w:b w:val="0"/>
          <w:color w:val="000000" w:themeColor="text1"/>
        </w:rPr>
        <w:t xml:space="preserve">The </w:t>
      </w:r>
      <w:r w:rsidR="00DB4B21">
        <w:rPr>
          <w:b w:val="0"/>
          <w:color w:val="000000" w:themeColor="text1"/>
        </w:rPr>
        <w:t>Scottish Government is developing guidance in relation to the Gender Representation on Public Boards (Scotland) Act 2018 and recently launched a consultation on its proposals for implementation of the Act and reporting on public authorities’ and appointing persons’ progress with implementation.</w:t>
      </w:r>
    </w:p>
    <w:p w14:paraId="6BDBC596" w14:textId="77777777" w:rsidR="00A111B3" w:rsidRPr="00DB4B21" w:rsidRDefault="00A111B3" w:rsidP="00A111B3">
      <w:pPr>
        <w:pStyle w:val="Paperparalevel1"/>
        <w:numPr>
          <w:ilvl w:val="0"/>
          <w:numId w:val="0"/>
        </w:numPr>
        <w:ind w:left="1134"/>
        <w:rPr>
          <w:i/>
          <w:color w:val="000000" w:themeColor="text1"/>
        </w:rPr>
      </w:pPr>
    </w:p>
    <w:p w14:paraId="36FDAC28" w14:textId="68B00B73" w:rsidR="00DB4B21" w:rsidRPr="00A111B3" w:rsidRDefault="00DB4B21" w:rsidP="00BA68BC">
      <w:pPr>
        <w:pStyle w:val="Paperparalevel1"/>
        <w:numPr>
          <w:ilvl w:val="1"/>
          <w:numId w:val="37"/>
        </w:numPr>
        <w:ind w:left="1134" w:hanging="567"/>
        <w:rPr>
          <w:i/>
          <w:color w:val="000000" w:themeColor="text1"/>
        </w:rPr>
      </w:pPr>
      <w:r>
        <w:rPr>
          <w:b w:val="0"/>
          <w:color w:val="000000" w:themeColor="text1"/>
        </w:rPr>
        <w:t xml:space="preserve">The deadline for submission of consultation responses is 4 August and the GCRB Board agreed at its meeting on 17 June that the Nominations and Remuneration Committee, given its membership and appointments remit, should agree a response on the </w:t>
      </w:r>
      <w:r w:rsidR="00BA68BC">
        <w:rPr>
          <w:b w:val="0"/>
          <w:color w:val="000000" w:themeColor="text1"/>
        </w:rPr>
        <w:t>Board’s behalf</w:t>
      </w:r>
      <w:r>
        <w:rPr>
          <w:b w:val="0"/>
          <w:color w:val="000000" w:themeColor="text1"/>
        </w:rPr>
        <w:t>.</w:t>
      </w:r>
    </w:p>
    <w:p w14:paraId="6937EA80" w14:textId="77777777" w:rsidR="00A111B3" w:rsidRPr="00DB4B21" w:rsidRDefault="00A111B3" w:rsidP="00A111B3">
      <w:pPr>
        <w:pStyle w:val="Paperparalevel1"/>
        <w:numPr>
          <w:ilvl w:val="0"/>
          <w:numId w:val="0"/>
        </w:numPr>
        <w:rPr>
          <w:i/>
          <w:color w:val="000000" w:themeColor="text1"/>
        </w:rPr>
      </w:pPr>
    </w:p>
    <w:p w14:paraId="0CBEE836" w14:textId="0CE493B7" w:rsidR="00DB4B21" w:rsidRPr="006C740E" w:rsidRDefault="00DB4B21" w:rsidP="00BA68BC">
      <w:pPr>
        <w:pStyle w:val="Paperparalevel1"/>
        <w:numPr>
          <w:ilvl w:val="1"/>
          <w:numId w:val="37"/>
        </w:numPr>
        <w:ind w:left="1134" w:hanging="567"/>
        <w:rPr>
          <w:i/>
          <w:color w:val="000000" w:themeColor="text1"/>
        </w:rPr>
      </w:pPr>
      <w:r>
        <w:rPr>
          <w:b w:val="0"/>
          <w:color w:val="000000" w:themeColor="text1"/>
        </w:rPr>
        <w:t xml:space="preserve">The consultation </w:t>
      </w:r>
      <w:r w:rsidR="006429F8">
        <w:rPr>
          <w:b w:val="0"/>
          <w:color w:val="000000" w:themeColor="text1"/>
        </w:rPr>
        <w:t>is designed for online responses</w:t>
      </w:r>
      <w:r>
        <w:rPr>
          <w:b w:val="0"/>
          <w:color w:val="000000" w:themeColor="text1"/>
        </w:rPr>
        <w:t xml:space="preserve">.  </w:t>
      </w:r>
      <w:r w:rsidR="006429F8">
        <w:rPr>
          <w:b w:val="0"/>
          <w:color w:val="000000" w:themeColor="text1"/>
        </w:rPr>
        <w:t>The guidance</w:t>
      </w:r>
      <w:r w:rsidR="0044383C">
        <w:rPr>
          <w:b w:val="0"/>
          <w:color w:val="000000" w:themeColor="text1"/>
        </w:rPr>
        <w:t xml:space="preserve"> and </w:t>
      </w:r>
      <w:r w:rsidR="006429F8">
        <w:rPr>
          <w:b w:val="0"/>
          <w:color w:val="000000" w:themeColor="text1"/>
        </w:rPr>
        <w:t xml:space="preserve">associated commentary </w:t>
      </w:r>
      <w:r>
        <w:rPr>
          <w:b w:val="0"/>
          <w:color w:val="000000" w:themeColor="text1"/>
        </w:rPr>
        <w:t xml:space="preserve">has not been reproduced here, but may be accessed at </w:t>
      </w:r>
      <w:hyperlink r:id="rId10" w:history="1">
        <w:r w:rsidR="006429F8" w:rsidRPr="00A23B0F">
          <w:rPr>
            <w:rStyle w:val="Hyperlink"/>
          </w:rPr>
          <w:t>https://consult.gov.scot/equality-unit/gender-representation-on-public-boards/</w:t>
        </w:r>
      </w:hyperlink>
    </w:p>
    <w:p w14:paraId="4ADBB93D" w14:textId="77777777" w:rsidR="006C740E" w:rsidRPr="006429F8" w:rsidRDefault="006C740E" w:rsidP="006C740E">
      <w:pPr>
        <w:pStyle w:val="Paperparalevel1"/>
        <w:numPr>
          <w:ilvl w:val="0"/>
          <w:numId w:val="0"/>
        </w:numPr>
        <w:rPr>
          <w:i/>
          <w:color w:val="000000" w:themeColor="text1"/>
        </w:rPr>
      </w:pPr>
    </w:p>
    <w:p w14:paraId="4AE39089" w14:textId="77777777" w:rsidR="00B845E1" w:rsidRPr="00B845E1" w:rsidRDefault="006429F8" w:rsidP="00BA68BC">
      <w:pPr>
        <w:pStyle w:val="Paperparalevel1"/>
        <w:numPr>
          <w:ilvl w:val="1"/>
          <w:numId w:val="37"/>
        </w:numPr>
        <w:ind w:left="1134" w:hanging="567"/>
        <w:rPr>
          <w:b w:val="0"/>
          <w:i/>
          <w:color w:val="000000" w:themeColor="text1"/>
        </w:rPr>
      </w:pPr>
      <w:r>
        <w:rPr>
          <w:b w:val="0"/>
          <w:color w:val="000000" w:themeColor="text1"/>
        </w:rPr>
        <w:t>For the most part, the guidance is relatively straightforward and consistent with expectations.</w:t>
      </w:r>
      <w:r w:rsidR="006C740E">
        <w:rPr>
          <w:b w:val="0"/>
          <w:color w:val="000000" w:themeColor="text1"/>
        </w:rPr>
        <w:t xml:space="preserve">  GCRB has taken steps over the past two years to ensure that it has an informed approach to board gender balance and diversity, and is well placed to implement any incoming requirements. </w:t>
      </w:r>
      <w:r>
        <w:rPr>
          <w:b w:val="0"/>
          <w:color w:val="000000" w:themeColor="text1"/>
        </w:rPr>
        <w:t xml:space="preserve"> </w:t>
      </w:r>
      <w:r w:rsidRPr="006429F8">
        <w:rPr>
          <w:b w:val="0"/>
          <w:color w:val="000000" w:themeColor="text1"/>
        </w:rPr>
        <w:t xml:space="preserve">In addition to a small </w:t>
      </w:r>
      <w:r>
        <w:rPr>
          <w:b w:val="0"/>
          <w:color w:val="000000" w:themeColor="text1"/>
        </w:rPr>
        <w:t>number of issues</w:t>
      </w:r>
      <w:r w:rsidRPr="006429F8">
        <w:rPr>
          <w:b w:val="0"/>
          <w:color w:val="000000" w:themeColor="text1"/>
        </w:rPr>
        <w:t xml:space="preserve"> highlighted</w:t>
      </w:r>
      <w:r>
        <w:rPr>
          <w:b w:val="0"/>
          <w:color w:val="000000" w:themeColor="text1"/>
        </w:rPr>
        <w:t xml:space="preserve"> in the draft responses (in blue text) in Appendix 1, the key considerations for GCRB will be:</w:t>
      </w:r>
      <w:r w:rsidR="00B845E1" w:rsidRPr="00B845E1">
        <w:rPr>
          <w:b w:val="0"/>
          <w:color w:val="000000" w:themeColor="text1"/>
        </w:rPr>
        <w:t xml:space="preserve"> </w:t>
      </w:r>
      <w:bookmarkStart w:id="0" w:name="_GoBack"/>
      <w:bookmarkEnd w:id="0"/>
    </w:p>
    <w:p w14:paraId="28338485" w14:textId="77777777" w:rsidR="00B845E1" w:rsidRDefault="00B845E1" w:rsidP="00B845E1">
      <w:pPr>
        <w:pStyle w:val="Paperparalevel1"/>
        <w:numPr>
          <w:ilvl w:val="0"/>
          <w:numId w:val="0"/>
        </w:numPr>
        <w:rPr>
          <w:b w:val="0"/>
          <w:color w:val="000000" w:themeColor="text1"/>
        </w:rPr>
      </w:pPr>
    </w:p>
    <w:p w14:paraId="6623E16B" w14:textId="172CAE9D" w:rsidR="00B845E1" w:rsidRPr="006429F8" w:rsidRDefault="00B845E1" w:rsidP="00BA68BC">
      <w:pPr>
        <w:pStyle w:val="Paperparalevel1"/>
        <w:numPr>
          <w:ilvl w:val="2"/>
          <w:numId w:val="37"/>
        </w:numPr>
        <w:rPr>
          <w:b w:val="0"/>
          <w:i/>
          <w:color w:val="000000" w:themeColor="text1"/>
        </w:rPr>
      </w:pPr>
      <w:r>
        <w:rPr>
          <w:b w:val="0"/>
          <w:color w:val="000000" w:themeColor="text1"/>
        </w:rPr>
        <w:lastRenderedPageBreak/>
        <w:t xml:space="preserve">establishing reporting arrangements within the region, ie, by Assigned Colleges to GCRB, that will enable it to fulfil its duties as Appointing Person; </w:t>
      </w:r>
    </w:p>
    <w:p w14:paraId="098BC075" w14:textId="77777777" w:rsidR="00B845E1" w:rsidRPr="006429F8" w:rsidRDefault="00B845E1" w:rsidP="00BA68BC">
      <w:pPr>
        <w:pStyle w:val="Paperparalevel1"/>
        <w:numPr>
          <w:ilvl w:val="2"/>
          <w:numId w:val="37"/>
        </w:numPr>
        <w:rPr>
          <w:b w:val="0"/>
          <w:i/>
          <w:color w:val="000000" w:themeColor="text1"/>
        </w:rPr>
      </w:pPr>
      <w:r>
        <w:rPr>
          <w:b w:val="0"/>
          <w:color w:val="000000" w:themeColor="text1"/>
        </w:rPr>
        <w:t>the co-ordination of information and publication of reports across the region, since the colleges will have to report as Public Authorities and GCRB will also have to report, both on its own members and on its appointment of Assigned College members;</w:t>
      </w:r>
    </w:p>
    <w:p w14:paraId="465166F8" w14:textId="1AF6DE48" w:rsidR="006429F8" w:rsidRPr="00B845E1" w:rsidRDefault="00B845E1" w:rsidP="00BA68BC">
      <w:pPr>
        <w:pStyle w:val="Paperparalevel1"/>
        <w:numPr>
          <w:ilvl w:val="2"/>
          <w:numId w:val="37"/>
        </w:numPr>
        <w:rPr>
          <w:b w:val="0"/>
          <w:i/>
          <w:color w:val="000000" w:themeColor="text1"/>
        </w:rPr>
      </w:pPr>
      <w:r>
        <w:rPr>
          <w:b w:val="0"/>
          <w:color w:val="000000" w:themeColor="text1"/>
        </w:rPr>
        <w:t>developing a collaborative approach to succession planning and recruitment across the region in the interests of achieving consistent good practice and minimising duplication.</w:t>
      </w:r>
    </w:p>
    <w:p w14:paraId="75B49F0D" w14:textId="77777777" w:rsidR="00B845E1" w:rsidRDefault="00B845E1" w:rsidP="00B845E1">
      <w:pPr>
        <w:pStyle w:val="Paperparalevel1"/>
        <w:numPr>
          <w:ilvl w:val="0"/>
          <w:numId w:val="0"/>
        </w:numPr>
        <w:rPr>
          <w:b w:val="0"/>
          <w:i/>
          <w:color w:val="000000" w:themeColor="text1"/>
        </w:rPr>
      </w:pPr>
    </w:p>
    <w:p w14:paraId="05F59A98" w14:textId="69ADCF73" w:rsidR="00DB4B21" w:rsidRPr="00B845E1" w:rsidRDefault="00B845E1" w:rsidP="00BA68BC">
      <w:pPr>
        <w:pStyle w:val="Paperparalevel1"/>
        <w:numPr>
          <w:ilvl w:val="1"/>
          <w:numId w:val="37"/>
        </w:numPr>
        <w:ind w:left="1134" w:hanging="567"/>
        <w:rPr>
          <w:b w:val="0"/>
          <w:i/>
          <w:color w:val="000000" w:themeColor="text1"/>
        </w:rPr>
      </w:pPr>
      <w:r>
        <w:rPr>
          <w:b w:val="0"/>
          <w:color w:val="000000" w:themeColor="text1"/>
        </w:rPr>
        <w:t>The Committee may wish to consider whether it would be beneficial to work with Assigned College Chairs/Nominations Committees during 2019-20 across the region in the interests of establishing arrangements that support compliance and good communication, and minimise duplication of effort</w:t>
      </w:r>
      <w:r>
        <w:rPr>
          <w:b w:val="0"/>
          <w:i/>
          <w:color w:val="000000" w:themeColor="text1"/>
        </w:rPr>
        <w:t>.</w:t>
      </w:r>
    </w:p>
    <w:p w14:paraId="5D9B5F05" w14:textId="0DC48F70" w:rsidR="00580ED6" w:rsidRPr="00BA68BC" w:rsidRDefault="00BA68BC" w:rsidP="00BA68BC">
      <w:pPr>
        <w:spacing w:after="240"/>
        <w:rPr>
          <w:b/>
          <w:color w:val="000000" w:themeColor="text1"/>
        </w:rPr>
      </w:pPr>
      <w:r>
        <w:rPr>
          <w:b/>
          <w:color w:val="000000" w:themeColor="text1"/>
        </w:rPr>
        <w:t>4.</w:t>
      </w:r>
      <w:r>
        <w:rPr>
          <w:b/>
          <w:color w:val="000000" w:themeColor="text1"/>
        </w:rPr>
        <w:tab/>
      </w:r>
      <w:r w:rsidR="00BF1E33" w:rsidRPr="00BA68BC">
        <w:rPr>
          <w:b/>
          <w:color w:val="000000" w:themeColor="text1"/>
        </w:rPr>
        <w:t>Draft Consultation Response</w:t>
      </w:r>
    </w:p>
    <w:p w14:paraId="2C993E00" w14:textId="77777777" w:rsidR="001A6FD9" w:rsidRDefault="001A6FD9" w:rsidP="001A6FD9">
      <w:pPr>
        <w:rPr>
          <w:b/>
          <w:color w:val="000000" w:themeColor="text1"/>
        </w:rPr>
      </w:pPr>
    </w:p>
    <w:p w14:paraId="3DF22620" w14:textId="7FC49FEA" w:rsidR="00580ED6" w:rsidRDefault="00BA68BC" w:rsidP="00BA68BC">
      <w:pPr>
        <w:pStyle w:val="ListParagraph"/>
        <w:ind w:left="360" w:firstLine="207"/>
        <w:rPr>
          <w:color w:val="000000" w:themeColor="text1"/>
        </w:rPr>
      </w:pPr>
      <w:r>
        <w:rPr>
          <w:color w:val="000000" w:themeColor="text1"/>
        </w:rPr>
        <w:t>See Appendix A</w:t>
      </w:r>
    </w:p>
    <w:p w14:paraId="18CA3F29" w14:textId="77777777" w:rsidR="005803B7" w:rsidRPr="005803B7" w:rsidRDefault="005803B7" w:rsidP="00580ED6">
      <w:pPr>
        <w:pStyle w:val="ListParagraph"/>
        <w:ind w:left="360"/>
        <w:rPr>
          <w:color w:val="000000" w:themeColor="text1"/>
        </w:rPr>
      </w:pPr>
    </w:p>
    <w:p w14:paraId="0DAD751E" w14:textId="130C70AE" w:rsidR="004F3E1C" w:rsidRPr="000E03C5" w:rsidRDefault="00BA68BC" w:rsidP="00BA68BC">
      <w:pPr>
        <w:pStyle w:val="Paperparalevel1"/>
        <w:numPr>
          <w:ilvl w:val="0"/>
          <w:numId w:val="0"/>
        </w:numPr>
        <w:rPr>
          <w:color w:val="000000" w:themeColor="text1"/>
        </w:rPr>
      </w:pPr>
      <w:r>
        <w:rPr>
          <w:color w:val="000000" w:themeColor="text1"/>
        </w:rPr>
        <w:t>5.</w:t>
      </w:r>
      <w:r>
        <w:rPr>
          <w:color w:val="000000" w:themeColor="text1"/>
        </w:rPr>
        <w:tab/>
      </w:r>
      <w:r w:rsidR="008F1A22" w:rsidRPr="000E03C5">
        <w:rPr>
          <w:color w:val="000000" w:themeColor="text1"/>
        </w:rPr>
        <w:t>Risk Analysis</w:t>
      </w:r>
    </w:p>
    <w:p w14:paraId="5272AB0E" w14:textId="77777777" w:rsidR="004F3E1C" w:rsidRDefault="004F3E1C" w:rsidP="004F3E1C">
      <w:pPr>
        <w:pStyle w:val="Paperparalevel1"/>
        <w:numPr>
          <w:ilvl w:val="0"/>
          <w:numId w:val="0"/>
        </w:numPr>
        <w:ind w:left="567"/>
        <w:rPr>
          <w:color w:val="000000" w:themeColor="text1"/>
        </w:rPr>
      </w:pPr>
    </w:p>
    <w:p w14:paraId="24695963" w14:textId="614F5D92" w:rsidR="008C5D02" w:rsidRPr="000F2925" w:rsidRDefault="003C125E" w:rsidP="000F2925">
      <w:pPr>
        <w:pStyle w:val="Paperparalevel2"/>
        <w:numPr>
          <w:ilvl w:val="0"/>
          <w:numId w:val="0"/>
        </w:numPr>
        <w:ind w:left="1134" w:hanging="567"/>
      </w:pPr>
      <w:r w:rsidRPr="00BA68BC">
        <w:rPr>
          <w:b/>
          <w:color w:val="000000" w:themeColor="text1"/>
        </w:rPr>
        <w:t xml:space="preserve">5.1 </w:t>
      </w:r>
      <w:r>
        <w:rPr>
          <w:color w:val="000000" w:themeColor="text1"/>
        </w:rPr>
        <w:tab/>
      </w:r>
      <w:r w:rsidR="00BF1E33" w:rsidRPr="009350D1">
        <w:rPr>
          <w:color w:val="000000" w:themeColor="text1"/>
        </w:rPr>
        <w:t>The objective of the new legislation and associated guidance is to achieve more balanced and representative public sector boards.  For GCRB, seeking to ensure it implements the guidance effectively and has adopted a regional approach</w:t>
      </w:r>
      <w:r w:rsidR="00AB3F5E" w:rsidRPr="009350D1">
        <w:rPr>
          <w:color w:val="000000" w:themeColor="text1"/>
        </w:rPr>
        <w:t>,</w:t>
      </w:r>
      <w:r w:rsidR="00BF1E33" w:rsidRPr="009350D1">
        <w:rPr>
          <w:color w:val="000000" w:themeColor="text1"/>
        </w:rPr>
        <w:t xml:space="preserve"> where appropriate, will help to mitigate </w:t>
      </w:r>
      <w:r w:rsidR="009350D1">
        <w:t>risk</w:t>
      </w:r>
      <w:r w:rsidR="000F2925">
        <w:t>s</w:t>
      </w:r>
      <w:r w:rsidR="009350D1">
        <w:t xml:space="preserve"> 011, t</w:t>
      </w:r>
      <w:r w:rsidR="009350D1" w:rsidRPr="009350D1">
        <w:t>he capacity and capability of the Board is inadequate</w:t>
      </w:r>
      <w:r w:rsidR="009350D1">
        <w:t xml:space="preserve"> and standards of governance fall below the level required</w:t>
      </w:r>
      <w:r w:rsidR="000F2925">
        <w:t>, and 012: there is a breach of legislation/guidance/code of practice and this results in a failure of governance.</w:t>
      </w:r>
    </w:p>
    <w:p w14:paraId="7896F5F7" w14:textId="5F4B73D6" w:rsidR="008F1A22" w:rsidRPr="000E03C5" w:rsidRDefault="00BA68BC" w:rsidP="00BA68BC">
      <w:pPr>
        <w:pStyle w:val="Paperparalevel1"/>
        <w:numPr>
          <w:ilvl w:val="0"/>
          <w:numId w:val="0"/>
        </w:numPr>
        <w:rPr>
          <w:color w:val="000000" w:themeColor="text1"/>
        </w:rPr>
      </w:pPr>
      <w:r>
        <w:rPr>
          <w:color w:val="000000" w:themeColor="text1"/>
        </w:rPr>
        <w:t>6.</w:t>
      </w:r>
      <w:r>
        <w:rPr>
          <w:color w:val="000000" w:themeColor="text1"/>
        </w:rPr>
        <w:tab/>
      </w:r>
      <w:r w:rsidR="005630E1" w:rsidRPr="000E03C5">
        <w:rPr>
          <w:color w:val="000000" w:themeColor="text1"/>
        </w:rPr>
        <w:t>Legal Implications</w:t>
      </w:r>
    </w:p>
    <w:p w14:paraId="5266FE1D" w14:textId="7BD3EC4E" w:rsidR="00FE6D22" w:rsidRPr="000E03C5" w:rsidRDefault="00BA68BC" w:rsidP="00BA68BC">
      <w:pPr>
        <w:pStyle w:val="Paperparalevel2"/>
        <w:numPr>
          <w:ilvl w:val="0"/>
          <w:numId w:val="0"/>
        </w:numPr>
        <w:ind w:left="567"/>
        <w:rPr>
          <w:color w:val="000000" w:themeColor="text1"/>
        </w:rPr>
      </w:pPr>
      <w:r w:rsidRPr="00BA68BC">
        <w:rPr>
          <w:b/>
          <w:color w:val="000000" w:themeColor="text1"/>
        </w:rPr>
        <w:t>6.1</w:t>
      </w:r>
      <w:r>
        <w:rPr>
          <w:color w:val="000000" w:themeColor="text1"/>
        </w:rPr>
        <w:tab/>
      </w:r>
      <w:r w:rsidR="00532AAA">
        <w:rPr>
          <w:color w:val="000000" w:themeColor="text1"/>
        </w:rPr>
        <w:t xml:space="preserve">There are no legal implications </w:t>
      </w:r>
      <w:r w:rsidR="00BF1E33">
        <w:rPr>
          <w:color w:val="000000" w:themeColor="text1"/>
        </w:rPr>
        <w:t>besides those directly referred to in the report.</w:t>
      </w:r>
      <w:r w:rsidR="006C6868">
        <w:rPr>
          <w:color w:val="000000" w:themeColor="text1"/>
        </w:rPr>
        <w:t xml:space="preserve">  </w:t>
      </w:r>
    </w:p>
    <w:p w14:paraId="542F8244" w14:textId="6CA7D485" w:rsidR="005630E1" w:rsidRPr="000E03C5" w:rsidRDefault="00BA68BC" w:rsidP="00BA68BC">
      <w:pPr>
        <w:pStyle w:val="Paperparalevel1"/>
        <w:numPr>
          <w:ilvl w:val="0"/>
          <w:numId w:val="0"/>
        </w:numPr>
        <w:rPr>
          <w:color w:val="000000" w:themeColor="text1"/>
        </w:rPr>
      </w:pPr>
      <w:r>
        <w:rPr>
          <w:color w:val="000000" w:themeColor="text1"/>
        </w:rPr>
        <w:t>7.</w:t>
      </w:r>
      <w:r>
        <w:rPr>
          <w:color w:val="000000" w:themeColor="text1"/>
        </w:rPr>
        <w:tab/>
      </w:r>
      <w:r w:rsidR="00532AAA">
        <w:rPr>
          <w:color w:val="000000" w:themeColor="text1"/>
        </w:rPr>
        <w:t>Resource</w:t>
      </w:r>
      <w:r w:rsidR="005630E1" w:rsidRPr="000E03C5">
        <w:rPr>
          <w:color w:val="000000" w:themeColor="text1"/>
        </w:rPr>
        <w:t xml:space="preserve"> Implications</w:t>
      </w:r>
    </w:p>
    <w:p w14:paraId="3DA53B7A" w14:textId="0C1D7143" w:rsidR="002C692F" w:rsidRDefault="00BA68BC" w:rsidP="00BA68BC">
      <w:pPr>
        <w:pStyle w:val="Paperparalevel2"/>
        <w:numPr>
          <w:ilvl w:val="0"/>
          <w:numId w:val="0"/>
        </w:numPr>
        <w:ind w:left="1134" w:hanging="567"/>
        <w:rPr>
          <w:color w:val="000000" w:themeColor="text1"/>
        </w:rPr>
      </w:pPr>
      <w:r w:rsidRPr="00BA68BC">
        <w:rPr>
          <w:b/>
          <w:color w:val="000000" w:themeColor="text1"/>
        </w:rPr>
        <w:t>7.1</w:t>
      </w:r>
      <w:r>
        <w:rPr>
          <w:color w:val="000000" w:themeColor="text1"/>
        </w:rPr>
        <w:tab/>
      </w:r>
      <w:r w:rsidR="00A80ED2" w:rsidRPr="000E03C5">
        <w:rPr>
          <w:color w:val="000000" w:themeColor="text1"/>
        </w:rPr>
        <w:t>The</w:t>
      </w:r>
      <w:r w:rsidR="006C6868">
        <w:rPr>
          <w:color w:val="000000" w:themeColor="text1"/>
        </w:rPr>
        <w:t xml:space="preserve">re </w:t>
      </w:r>
      <w:r w:rsidR="00BF1E33">
        <w:rPr>
          <w:color w:val="000000" w:themeColor="text1"/>
        </w:rPr>
        <w:t xml:space="preserve">are modest implications arising from a new strand of compliance reporting, given that GCRB has </w:t>
      </w:r>
      <w:r w:rsidR="006C740E">
        <w:rPr>
          <w:color w:val="000000" w:themeColor="text1"/>
        </w:rPr>
        <w:t xml:space="preserve">reporting </w:t>
      </w:r>
      <w:r w:rsidR="00BF1E33">
        <w:rPr>
          <w:color w:val="000000" w:themeColor="text1"/>
        </w:rPr>
        <w:t>duties under the new legislation that were not previously in place.</w:t>
      </w:r>
    </w:p>
    <w:p w14:paraId="674C2346" w14:textId="7D90F536" w:rsidR="005803B7" w:rsidRPr="005803B7" w:rsidRDefault="00BA68BC" w:rsidP="00BA68BC">
      <w:pPr>
        <w:pStyle w:val="Paperparalevel2"/>
        <w:numPr>
          <w:ilvl w:val="0"/>
          <w:numId w:val="0"/>
        </w:numPr>
        <w:rPr>
          <w:b/>
          <w:color w:val="000000" w:themeColor="text1"/>
        </w:rPr>
      </w:pPr>
      <w:r>
        <w:rPr>
          <w:b/>
          <w:color w:val="000000" w:themeColor="text1"/>
        </w:rPr>
        <w:t>8.</w:t>
      </w:r>
      <w:r>
        <w:rPr>
          <w:b/>
          <w:color w:val="000000" w:themeColor="text1"/>
        </w:rPr>
        <w:tab/>
      </w:r>
      <w:r w:rsidR="005803B7" w:rsidRPr="005803B7">
        <w:rPr>
          <w:b/>
          <w:color w:val="000000" w:themeColor="text1"/>
        </w:rPr>
        <w:t>Equalities Implications</w:t>
      </w:r>
    </w:p>
    <w:p w14:paraId="6EF2129D" w14:textId="608ED3A8" w:rsidR="005803B7" w:rsidRPr="000E03C5" w:rsidRDefault="00BA68BC" w:rsidP="00BA68BC">
      <w:pPr>
        <w:pStyle w:val="Paperparalevel2"/>
        <w:numPr>
          <w:ilvl w:val="0"/>
          <w:numId w:val="0"/>
        </w:numPr>
        <w:ind w:left="567"/>
        <w:rPr>
          <w:color w:val="000000" w:themeColor="text1"/>
        </w:rPr>
      </w:pPr>
      <w:r w:rsidRPr="00BA68BC">
        <w:rPr>
          <w:b/>
          <w:color w:val="000000" w:themeColor="text1"/>
        </w:rPr>
        <w:t>8.1</w:t>
      </w:r>
      <w:r>
        <w:rPr>
          <w:color w:val="000000" w:themeColor="text1"/>
        </w:rPr>
        <w:tab/>
      </w:r>
      <w:r w:rsidR="00BF1E33">
        <w:rPr>
          <w:color w:val="000000" w:themeColor="text1"/>
        </w:rPr>
        <w:t>Equalities implications are addressed in the consultation.</w:t>
      </w:r>
    </w:p>
    <w:p w14:paraId="06E789D2" w14:textId="3D1C2568" w:rsidR="00A87B53" w:rsidRPr="000E03C5" w:rsidRDefault="00BA68BC" w:rsidP="00BA68BC">
      <w:pPr>
        <w:pStyle w:val="Paperparalevel1"/>
        <w:keepNext/>
        <w:keepLines/>
        <w:numPr>
          <w:ilvl w:val="0"/>
          <w:numId w:val="0"/>
        </w:numPr>
        <w:rPr>
          <w:color w:val="000000" w:themeColor="text1"/>
        </w:rPr>
      </w:pPr>
      <w:r>
        <w:rPr>
          <w:color w:val="000000" w:themeColor="text1"/>
        </w:rPr>
        <w:t>9.</w:t>
      </w:r>
      <w:r>
        <w:rPr>
          <w:color w:val="000000" w:themeColor="text1"/>
        </w:rPr>
        <w:tab/>
      </w:r>
      <w:r w:rsidR="00532AAA">
        <w:rPr>
          <w:color w:val="000000" w:themeColor="text1"/>
        </w:rPr>
        <w:t>Strategic</w:t>
      </w:r>
      <w:r w:rsidR="00A87B53" w:rsidRPr="000E03C5">
        <w:rPr>
          <w:color w:val="000000" w:themeColor="text1"/>
        </w:rPr>
        <w:t xml:space="preserve"> Implications</w:t>
      </w:r>
    </w:p>
    <w:p w14:paraId="7B9EF03D" w14:textId="625AB656" w:rsidR="003C125E" w:rsidRDefault="00BA68BC" w:rsidP="00BA68BC">
      <w:pPr>
        <w:pStyle w:val="Paperparalevel2"/>
        <w:numPr>
          <w:ilvl w:val="0"/>
          <w:numId w:val="0"/>
        </w:numPr>
        <w:ind w:left="567"/>
        <w:rPr>
          <w:color w:val="000000" w:themeColor="text1"/>
        </w:rPr>
      </w:pPr>
      <w:r w:rsidRPr="00BA68BC">
        <w:rPr>
          <w:b/>
          <w:color w:val="000000" w:themeColor="text1"/>
        </w:rPr>
        <w:t>9.1</w:t>
      </w:r>
      <w:r>
        <w:rPr>
          <w:color w:val="000000" w:themeColor="text1"/>
        </w:rPr>
        <w:tab/>
      </w:r>
      <w:r w:rsidR="001A6FD9">
        <w:rPr>
          <w:color w:val="000000" w:themeColor="text1"/>
        </w:rPr>
        <w:t xml:space="preserve">There are no </w:t>
      </w:r>
      <w:r w:rsidR="00BF1E33">
        <w:rPr>
          <w:color w:val="000000" w:themeColor="text1"/>
        </w:rPr>
        <w:t>new</w:t>
      </w:r>
      <w:r w:rsidR="001A6FD9">
        <w:rPr>
          <w:color w:val="000000" w:themeColor="text1"/>
        </w:rPr>
        <w:t xml:space="preserve"> strat</w:t>
      </w:r>
      <w:r w:rsidR="00BF1E33">
        <w:rPr>
          <w:color w:val="000000" w:themeColor="text1"/>
        </w:rPr>
        <w:t>egic implications arising from the report</w:t>
      </w:r>
      <w:r w:rsidR="002F0FA9" w:rsidRPr="00F21371">
        <w:rPr>
          <w:color w:val="000000" w:themeColor="text1"/>
        </w:rPr>
        <w:t>.</w:t>
      </w:r>
    </w:p>
    <w:p w14:paraId="1B7341C8" w14:textId="77777777" w:rsidR="003C125E" w:rsidRPr="003C125E" w:rsidRDefault="003C125E" w:rsidP="001A6FD9">
      <w:pPr>
        <w:spacing w:after="200" w:line="276" w:lineRule="auto"/>
        <w:rPr>
          <w:color w:val="000000" w:themeColor="text1"/>
        </w:rPr>
      </w:pPr>
    </w:p>
    <w:sectPr w:rsidR="003C125E" w:rsidRPr="003C125E" w:rsidSect="00F213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05777" w14:textId="77777777" w:rsidR="00A111B3" w:rsidRDefault="00A111B3" w:rsidP="001B6AFB">
      <w:r>
        <w:separator/>
      </w:r>
    </w:p>
  </w:endnote>
  <w:endnote w:type="continuationSeparator" w:id="0">
    <w:p w14:paraId="4E1F90A1" w14:textId="77777777" w:rsidR="00A111B3" w:rsidRDefault="00A111B3" w:rsidP="001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862467"/>
      <w:docPartObj>
        <w:docPartGallery w:val="Page Numbers (Bottom of Page)"/>
        <w:docPartUnique/>
      </w:docPartObj>
    </w:sdtPr>
    <w:sdtEndPr>
      <w:rPr>
        <w:noProof/>
        <w:sz w:val="20"/>
        <w:szCs w:val="20"/>
      </w:rPr>
    </w:sdtEndPr>
    <w:sdtContent>
      <w:p w14:paraId="7764065A" w14:textId="77777777" w:rsidR="00A111B3" w:rsidRPr="00C95CD4" w:rsidRDefault="00A111B3" w:rsidP="00C95CD4">
        <w:pPr>
          <w:pStyle w:val="Footer"/>
          <w:jc w:val="center"/>
          <w:rPr>
            <w:sz w:val="20"/>
            <w:szCs w:val="20"/>
          </w:rP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44383C">
          <w:rPr>
            <w:noProof/>
            <w:sz w:val="20"/>
            <w:szCs w:val="20"/>
          </w:rPr>
          <w:t>1</w:t>
        </w:r>
        <w:r w:rsidRPr="00C95CD4">
          <w:rPr>
            <w:noProof/>
            <w:sz w:val="20"/>
            <w:szCs w:val="20"/>
          </w:rPr>
          <w:fldChar w:fldCharType="end"/>
        </w:r>
      </w:p>
    </w:sdtContent>
  </w:sdt>
  <w:p w14:paraId="5354B157" w14:textId="77777777" w:rsidR="00A111B3" w:rsidRDefault="00A11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64106" w14:textId="77777777" w:rsidR="00A111B3" w:rsidRDefault="00A111B3" w:rsidP="001B6AFB">
      <w:r>
        <w:separator/>
      </w:r>
    </w:p>
  </w:footnote>
  <w:footnote w:type="continuationSeparator" w:id="0">
    <w:p w14:paraId="50DE418B" w14:textId="77777777" w:rsidR="00A111B3" w:rsidRDefault="00A111B3" w:rsidP="001B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3FB73" w14:textId="77777777" w:rsidR="00A111B3" w:rsidRDefault="00A111B3" w:rsidP="001B6A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BF"/>
    <w:multiLevelType w:val="multilevel"/>
    <w:tmpl w:val="A466698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i w:val="0"/>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20516F2"/>
    <w:multiLevelType w:val="hybridMultilevel"/>
    <w:tmpl w:val="E6305FFE"/>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1B7C50"/>
    <w:multiLevelType w:val="hybridMultilevel"/>
    <w:tmpl w:val="D3CCC994"/>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3">
    <w:nsid w:val="07126C57"/>
    <w:multiLevelType w:val="hybridMultilevel"/>
    <w:tmpl w:val="2716FE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253D9"/>
    <w:multiLevelType w:val="hybridMultilevel"/>
    <w:tmpl w:val="830E4FE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5">
    <w:nsid w:val="127124B1"/>
    <w:multiLevelType w:val="multilevel"/>
    <w:tmpl w:val="0EF6348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128479A6"/>
    <w:multiLevelType w:val="multilevel"/>
    <w:tmpl w:val="DA78EFAC"/>
    <w:lvl w:ilvl="0">
      <w:start w:val="3"/>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3915" w:hanging="1080"/>
      </w:pPr>
      <w:rPr>
        <w:rFonts w:hint="default"/>
        <w:b w:val="0"/>
        <w:i w:val="0"/>
      </w:rPr>
    </w:lvl>
    <w:lvl w:ilvl="6">
      <w:start w:val="1"/>
      <w:numFmt w:val="decimal"/>
      <w:lvlText w:val="%1.%2.%3.%4.%5.%6.%7"/>
      <w:lvlJc w:val="left"/>
      <w:pPr>
        <w:ind w:left="4842" w:hanging="1440"/>
      </w:pPr>
      <w:rPr>
        <w:rFonts w:hint="default"/>
        <w:b w:val="0"/>
        <w:i w:val="0"/>
      </w:rPr>
    </w:lvl>
    <w:lvl w:ilvl="7">
      <w:start w:val="1"/>
      <w:numFmt w:val="decimal"/>
      <w:lvlText w:val="%1.%2.%3.%4.%5.%6.%7.%8"/>
      <w:lvlJc w:val="left"/>
      <w:pPr>
        <w:ind w:left="5409" w:hanging="1440"/>
      </w:pPr>
      <w:rPr>
        <w:rFonts w:hint="default"/>
        <w:b w:val="0"/>
        <w:i w:val="0"/>
      </w:rPr>
    </w:lvl>
    <w:lvl w:ilvl="8">
      <w:start w:val="1"/>
      <w:numFmt w:val="decimal"/>
      <w:lvlText w:val="%1.%2.%3.%4.%5.%6.%7.%8.%9"/>
      <w:lvlJc w:val="left"/>
      <w:pPr>
        <w:ind w:left="6336" w:hanging="1800"/>
      </w:pPr>
      <w:rPr>
        <w:rFonts w:hint="default"/>
        <w:b w:val="0"/>
        <w:i w:val="0"/>
      </w:rPr>
    </w:lvl>
  </w:abstractNum>
  <w:abstractNum w:abstractNumId="7">
    <w:nsid w:val="149B23B9"/>
    <w:multiLevelType w:val="hybridMultilevel"/>
    <w:tmpl w:val="4F3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8D44FA"/>
    <w:multiLevelType w:val="hybridMultilevel"/>
    <w:tmpl w:val="B7E6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257228"/>
    <w:multiLevelType w:val="hybridMultilevel"/>
    <w:tmpl w:val="9404F60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nsid w:val="1C2D31A3"/>
    <w:multiLevelType w:val="hybridMultilevel"/>
    <w:tmpl w:val="D9A2977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1D1C75F7"/>
    <w:multiLevelType w:val="hybridMultilevel"/>
    <w:tmpl w:val="C840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962AB0"/>
    <w:multiLevelType w:val="hybridMultilevel"/>
    <w:tmpl w:val="CDC44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895C52"/>
    <w:multiLevelType w:val="multilevel"/>
    <w:tmpl w:val="FCC8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6077E"/>
    <w:multiLevelType w:val="hybridMultilevel"/>
    <w:tmpl w:val="3ABC8D0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nsid w:val="368C61D6"/>
    <w:multiLevelType w:val="hybridMultilevel"/>
    <w:tmpl w:val="23D4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F9775A"/>
    <w:multiLevelType w:val="hybridMultilevel"/>
    <w:tmpl w:val="AF8AE8D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8">
    <w:nsid w:val="448318B2"/>
    <w:multiLevelType w:val="hybridMultilevel"/>
    <w:tmpl w:val="3FF6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17067B"/>
    <w:multiLevelType w:val="hybridMultilevel"/>
    <w:tmpl w:val="33DE25B8"/>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2CF251B"/>
    <w:multiLevelType w:val="multilevel"/>
    <w:tmpl w:val="82FECA5C"/>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nsid w:val="5434192A"/>
    <w:multiLevelType w:val="hybridMultilevel"/>
    <w:tmpl w:val="291EE08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5BDF48FF"/>
    <w:multiLevelType w:val="hybridMultilevel"/>
    <w:tmpl w:val="421A6A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5C2B252B"/>
    <w:multiLevelType w:val="hybridMultilevel"/>
    <w:tmpl w:val="424839E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nsid w:val="65A546B4"/>
    <w:multiLevelType w:val="hybridMultilevel"/>
    <w:tmpl w:val="4020806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6C3A3E9C"/>
    <w:multiLevelType w:val="hybridMultilevel"/>
    <w:tmpl w:val="3D30B94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6DA80272"/>
    <w:multiLevelType w:val="hybridMultilevel"/>
    <w:tmpl w:val="2710F8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nsid w:val="6F513FA2"/>
    <w:multiLevelType w:val="hybridMultilevel"/>
    <w:tmpl w:val="7774179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8">
    <w:nsid w:val="71F231FE"/>
    <w:multiLevelType w:val="multilevel"/>
    <w:tmpl w:val="4528730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D15EA7"/>
    <w:multiLevelType w:val="hybridMultilevel"/>
    <w:tmpl w:val="DBEA3A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7C0233CC"/>
    <w:multiLevelType w:val="hybridMultilevel"/>
    <w:tmpl w:val="C1345EFC"/>
    <w:lvl w:ilvl="0" w:tplc="56046A5C">
      <w:start w:val="1"/>
      <w:numFmt w:val="bullet"/>
      <w:pStyle w:val="Bullets"/>
      <w:lvlText w:val="•"/>
      <w:lvlJc w:val="left"/>
      <w:pPr>
        <w:ind w:left="2632" w:hanging="413"/>
      </w:pPr>
      <w:rPr>
        <w:rFonts w:ascii="Calibri" w:eastAsia="Calibri" w:hAnsi="Calibri" w:hint="default"/>
        <w:w w:val="131"/>
        <w:sz w:val="26"/>
        <w:szCs w:val="26"/>
      </w:rPr>
    </w:lvl>
    <w:lvl w:ilvl="1" w:tplc="41AE2ADC">
      <w:start w:val="1"/>
      <w:numFmt w:val="bullet"/>
      <w:lvlText w:val="•"/>
      <w:lvlJc w:val="left"/>
      <w:pPr>
        <w:ind w:left="3387" w:hanging="413"/>
      </w:pPr>
      <w:rPr>
        <w:rFonts w:hint="default"/>
      </w:rPr>
    </w:lvl>
    <w:lvl w:ilvl="2" w:tplc="AB38F4C2">
      <w:start w:val="1"/>
      <w:numFmt w:val="bullet"/>
      <w:lvlText w:val="•"/>
      <w:lvlJc w:val="left"/>
      <w:pPr>
        <w:ind w:left="4142" w:hanging="413"/>
      </w:pPr>
      <w:rPr>
        <w:rFonts w:hint="default"/>
      </w:rPr>
    </w:lvl>
    <w:lvl w:ilvl="3" w:tplc="7F427160">
      <w:start w:val="1"/>
      <w:numFmt w:val="bullet"/>
      <w:lvlText w:val="•"/>
      <w:lvlJc w:val="left"/>
      <w:pPr>
        <w:ind w:left="4897" w:hanging="413"/>
      </w:pPr>
      <w:rPr>
        <w:rFonts w:hint="default"/>
      </w:rPr>
    </w:lvl>
    <w:lvl w:ilvl="4" w:tplc="FC3E881A">
      <w:start w:val="1"/>
      <w:numFmt w:val="bullet"/>
      <w:lvlText w:val="•"/>
      <w:lvlJc w:val="left"/>
      <w:pPr>
        <w:ind w:left="5653" w:hanging="413"/>
      </w:pPr>
      <w:rPr>
        <w:rFonts w:hint="default"/>
      </w:rPr>
    </w:lvl>
    <w:lvl w:ilvl="5" w:tplc="BE9ABDA4">
      <w:start w:val="1"/>
      <w:numFmt w:val="bullet"/>
      <w:lvlText w:val="•"/>
      <w:lvlJc w:val="left"/>
      <w:pPr>
        <w:ind w:left="6408" w:hanging="413"/>
      </w:pPr>
      <w:rPr>
        <w:rFonts w:hint="default"/>
      </w:rPr>
    </w:lvl>
    <w:lvl w:ilvl="6" w:tplc="DA269852">
      <w:start w:val="1"/>
      <w:numFmt w:val="bullet"/>
      <w:lvlText w:val="•"/>
      <w:lvlJc w:val="left"/>
      <w:pPr>
        <w:ind w:left="7163" w:hanging="413"/>
      </w:pPr>
      <w:rPr>
        <w:rFonts w:hint="default"/>
      </w:rPr>
    </w:lvl>
    <w:lvl w:ilvl="7" w:tplc="262476CC">
      <w:start w:val="1"/>
      <w:numFmt w:val="bullet"/>
      <w:lvlText w:val="•"/>
      <w:lvlJc w:val="left"/>
      <w:pPr>
        <w:ind w:left="7918" w:hanging="413"/>
      </w:pPr>
      <w:rPr>
        <w:rFonts w:hint="default"/>
      </w:rPr>
    </w:lvl>
    <w:lvl w:ilvl="8" w:tplc="D136A318">
      <w:start w:val="1"/>
      <w:numFmt w:val="bullet"/>
      <w:lvlText w:val="•"/>
      <w:lvlJc w:val="left"/>
      <w:pPr>
        <w:ind w:left="8673" w:hanging="413"/>
      </w:pPr>
      <w:rPr>
        <w:rFonts w:hint="default"/>
      </w:rPr>
    </w:lvl>
  </w:abstractNum>
  <w:num w:numId="1">
    <w:abstractNumId w:val="30"/>
  </w:num>
  <w:num w:numId="2">
    <w:abstractNumId w:val="17"/>
  </w:num>
  <w:num w:numId="3">
    <w:abstractNumId w:val="20"/>
  </w:num>
  <w:num w:numId="4">
    <w:abstractNumId w:val="26"/>
  </w:num>
  <w:num w:numId="5">
    <w:abstractNumId w:val="0"/>
  </w:num>
  <w:num w:numId="6">
    <w:abstractNumId w:val="29"/>
  </w:num>
  <w:num w:numId="7">
    <w:abstractNumId w:val="27"/>
  </w:num>
  <w:num w:numId="8">
    <w:abstractNumId w:val="14"/>
  </w:num>
  <w:num w:numId="9">
    <w:abstractNumId w:val="9"/>
  </w:num>
  <w:num w:numId="10">
    <w:abstractNumId w:val="25"/>
  </w:num>
  <w:num w:numId="11">
    <w:abstractNumId w:val="2"/>
  </w:num>
  <w:num w:numId="12">
    <w:abstractNumId w:val="23"/>
  </w:num>
  <w:num w:numId="13">
    <w:abstractNumId w:val="22"/>
  </w:num>
  <w:num w:numId="14">
    <w:abstractNumId w:val="21"/>
  </w:num>
  <w:num w:numId="15">
    <w:abstractNumId w:val="12"/>
  </w:num>
  <w:num w:numId="16">
    <w:abstractNumId w:val="28"/>
  </w:num>
  <w:num w:numId="17">
    <w:abstractNumId w:val="16"/>
  </w:num>
  <w:num w:numId="18">
    <w:abstractNumId w:val="5"/>
  </w:num>
  <w:num w:numId="19">
    <w:abstractNumId w:val="18"/>
  </w:num>
  <w:num w:numId="20">
    <w:abstractNumId w:val="15"/>
  </w:num>
  <w:num w:numId="21">
    <w:abstractNumId w:val="11"/>
  </w:num>
  <w:num w:numId="22">
    <w:abstractNumId w:val="24"/>
  </w:num>
  <w:num w:numId="23">
    <w:abstractNumId w:val="8"/>
  </w:num>
  <w:num w:numId="24">
    <w:abstractNumId w:val="13"/>
  </w:num>
  <w:num w:numId="25">
    <w:abstractNumId w:val="7"/>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19"/>
  </w:num>
  <w:num w:numId="33">
    <w:abstractNumId w:val="1"/>
  </w:num>
  <w:num w:numId="34">
    <w:abstractNumId w:val="4"/>
  </w:num>
  <w:num w:numId="35">
    <w:abstractNumId w:val="10"/>
  </w:num>
  <w:num w:numId="36">
    <w:abstractNumId w:val="3"/>
  </w:num>
  <w:num w:numId="3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D7"/>
    <w:rsid w:val="00007DED"/>
    <w:rsid w:val="00011992"/>
    <w:rsid w:val="0005020A"/>
    <w:rsid w:val="00061A6D"/>
    <w:rsid w:val="000624FE"/>
    <w:rsid w:val="0006300F"/>
    <w:rsid w:val="00073BFE"/>
    <w:rsid w:val="00075371"/>
    <w:rsid w:val="00082601"/>
    <w:rsid w:val="000930A0"/>
    <w:rsid w:val="000A057E"/>
    <w:rsid w:val="000A3562"/>
    <w:rsid w:val="000A591D"/>
    <w:rsid w:val="000B21E5"/>
    <w:rsid w:val="000B2E0E"/>
    <w:rsid w:val="000D1A3D"/>
    <w:rsid w:val="000D2B71"/>
    <w:rsid w:val="000D78C4"/>
    <w:rsid w:val="000E03C5"/>
    <w:rsid w:val="000E78CF"/>
    <w:rsid w:val="000F2925"/>
    <w:rsid w:val="0010566A"/>
    <w:rsid w:val="001057D7"/>
    <w:rsid w:val="00114390"/>
    <w:rsid w:val="001548A6"/>
    <w:rsid w:val="00157641"/>
    <w:rsid w:val="0016431E"/>
    <w:rsid w:val="001663F0"/>
    <w:rsid w:val="0017169C"/>
    <w:rsid w:val="00194B54"/>
    <w:rsid w:val="001A6FD9"/>
    <w:rsid w:val="001B6AFB"/>
    <w:rsid w:val="001C1C3F"/>
    <w:rsid w:val="001C3A81"/>
    <w:rsid w:val="001D5947"/>
    <w:rsid w:val="001E3FD8"/>
    <w:rsid w:val="00210E82"/>
    <w:rsid w:val="00215AF7"/>
    <w:rsid w:val="00217415"/>
    <w:rsid w:val="0022038C"/>
    <w:rsid w:val="002264EA"/>
    <w:rsid w:val="00227CD0"/>
    <w:rsid w:val="002400EE"/>
    <w:rsid w:val="00251FD9"/>
    <w:rsid w:val="002611B4"/>
    <w:rsid w:val="002625A8"/>
    <w:rsid w:val="00267D33"/>
    <w:rsid w:val="00280C59"/>
    <w:rsid w:val="002862EB"/>
    <w:rsid w:val="002967A0"/>
    <w:rsid w:val="002A687C"/>
    <w:rsid w:val="002B4B8A"/>
    <w:rsid w:val="002C2AD3"/>
    <w:rsid w:val="002C30DC"/>
    <w:rsid w:val="002C692F"/>
    <w:rsid w:val="002D329D"/>
    <w:rsid w:val="002E0D08"/>
    <w:rsid w:val="002F0FA9"/>
    <w:rsid w:val="002F1178"/>
    <w:rsid w:val="00312AD5"/>
    <w:rsid w:val="00315D45"/>
    <w:rsid w:val="00316757"/>
    <w:rsid w:val="0035383D"/>
    <w:rsid w:val="00383739"/>
    <w:rsid w:val="00383BAF"/>
    <w:rsid w:val="00387FA8"/>
    <w:rsid w:val="0039005E"/>
    <w:rsid w:val="00391F9A"/>
    <w:rsid w:val="00394A55"/>
    <w:rsid w:val="003B1923"/>
    <w:rsid w:val="003B544E"/>
    <w:rsid w:val="003C0905"/>
    <w:rsid w:val="003C125E"/>
    <w:rsid w:val="003C4037"/>
    <w:rsid w:val="003D462C"/>
    <w:rsid w:val="003E5806"/>
    <w:rsid w:val="003E586A"/>
    <w:rsid w:val="00440B89"/>
    <w:rsid w:val="0044383C"/>
    <w:rsid w:val="004445BE"/>
    <w:rsid w:val="0046739D"/>
    <w:rsid w:val="00485288"/>
    <w:rsid w:val="004857C7"/>
    <w:rsid w:val="00496A72"/>
    <w:rsid w:val="004C7136"/>
    <w:rsid w:val="004D6B7F"/>
    <w:rsid w:val="004E127E"/>
    <w:rsid w:val="004E4CFA"/>
    <w:rsid w:val="004E5BFF"/>
    <w:rsid w:val="004F2192"/>
    <w:rsid w:val="004F3E1C"/>
    <w:rsid w:val="00505E1D"/>
    <w:rsid w:val="00506DC7"/>
    <w:rsid w:val="00520AAC"/>
    <w:rsid w:val="005219C6"/>
    <w:rsid w:val="00532AAA"/>
    <w:rsid w:val="00545AE7"/>
    <w:rsid w:val="005630E1"/>
    <w:rsid w:val="005646BE"/>
    <w:rsid w:val="00575B3F"/>
    <w:rsid w:val="005803B7"/>
    <w:rsid w:val="00580ED6"/>
    <w:rsid w:val="00584197"/>
    <w:rsid w:val="00597032"/>
    <w:rsid w:val="00597DB8"/>
    <w:rsid w:val="005B122A"/>
    <w:rsid w:val="005C153D"/>
    <w:rsid w:val="005C45A0"/>
    <w:rsid w:val="005D4B41"/>
    <w:rsid w:val="005F4349"/>
    <w:rsid w:val="005F563C"/>
    <w:rsid w:val="00601720"/>
    <w:rsid w:val="00624675"/>
    <w:rsid w:val="006429F8"/>
    <w:rsid w:val="00643470"/>
    <w:rsid w:val="006464A3"/>
    <w:rsid w:val="0066320C"/>
    <w:rsid w:val="006653C3"/>
    <w:rsid w:val="00683BFB"/>
    <w:rsid w:val="006904A2"/>
    <w:rsid w:val="006A61AB"/>
    <w:rsid w:val="006C1103"/>
    <w:rsid w:val="006C6868"/>
    <w:rsid w:val="006C6B51"/>
    <w:rsid w:val="006C6B6A"/>
    <w:rsid w:val="006C740E"/>
    <w:rsid w:val="006D3E7F"/>
    <w:rsid w:val="006E259E"/>
    <w:rsid w:val="006F5938"/>
    <w:rsid w:val="00715408"/>
    <w:rsid w:val="00725099"/>
    <w:rsid w:val="007334CA"/>
    <w:rsid w:val="007442C7"/>
    <w:rsid w:val="007550AA"/>
    <w:rsid w:val="00761E98"/>
    <w:rsid w:val="00773667"/>
    <w:rsid w:val="0078127D"/>
    <w:rsid w:val="00790FA6"/>
    <w:rsid w:val="007A0775"/>
    <w:rsid w:val="007A1410"/>
    <w:rsid w:val="007B13C3"/>
    <w:rsid w:val="007C5D15"/>
    <w:rsid w:val="007C6E79"/>
    <w:rsid w:val="007E2668"/>
    <w:rsid w:val="007E2866"/>
    <w:rsid w:val="007F047D"/>
    <w:rsid w:val="00803E68"/>
    <w:rsid w:val="00810F04"/>
    <w:rsid w:val="00811075"/>
    <w:rsid w:val="00814407"/>
    <w:rsid w:val="0084686A"/>
    <w:rsid w:val="008535F8"/>
    <w:rsid w:val="00861EE7"/>
    <w:rsid w:val="0087229B"/>
    <w:rsid w:val="0087332A"/>
    <w:rsid w:val="008B419F"/>
    <w:rsid w:val="008C5D02"/>
    <w:rsid w:val="008D5D46"/>
    <w:rsid w:val="008D774E"/>
    <w:rsid w:val="008E4F8E"/>
    <w:rsid w:val="008F12C2"/>
    <w:rsid w:val="008F1A22"/>
    <w:rsid w:val="008F3909"/>
    <w:rsid w:val="008F578D"/>
    <w:rsid w:val="00904404"/>
    <w:rsid w:val="009123AB"/>
    <w:rsid w:val="0092537A"/>
    <w:rsid w:val="00925AF2"/>
    <w:rsid w:val="009350D1"/>
    <w:rsid w:val="00936708"/>
    <w:rsid w:val="00943236"/>
    <w:rsid w:val="009525D0"/>
    <w:rsid w:val="009572EB"/>
    <w:rsid w:val="00967806"/>
    <w:rsid w:val="00982398"/>
    <w:rsid w:val="00984ED7"/>
    <w:rsid w:val="00994B45"/>
    <w:rsid w:val="009B1CB6"/>
    <w:rsid w:val="009B2F26"/>
    <w:rsid w:val="009C0CD4"/>
    <w:rsid w:val="009C1F19"/>
    <w:rsid w:val="009C2BC1"/>
    <w:rsid w:val="009C516A"/>
    <w:rsid w:val="009D1F11"/>
    <w:rsid w:val="009D4089"/>
    <w:rsid w:val="00A0689B"/>
    <w:rsid w:val="00A074CA"/>
    <w:rsid w:val="00A111B3"/>
    <w:rsid w:val="00A13B19"/>
    <w:rsid w:val="00A13CF6"/>
    <w:rsid w:val="00A20537"/>
    <w:rsid w:val="00A25B32"/>
    <w:rsid w:val="00A35CC6"/>
    <w:rsid w:val="00A3794E"/>
    <w:rsid w:val="00A37F89"/>
    <w:rsid w:val="00A54BB8"/>
    <w:rsid w:val="00A606DC"/>
    <w:rsid w:val="00A63939"/>
    <w:rsid w:val="00A64322"/>
    <w:rsid w:val="00A80796"/>
    <w:rsid w:val="00A80ED2"/>
    <w:rsid w:val="00A87B53"/>
    <w:rsid w:val="00AB3F5E"/>
    <w:rsid w:val="00AC7FD7"/>
    <w:rsid w:val="00AD79C6"/>
    <w:rsid w:val="00AF21FA"/>
    <w:rsid w:val="00B00160"/>
    <w:rsid w:val="00B03A1E"/>
    <w:rsid w:val="00B03C0F"/>
    <w:rsid w:val="00B22C7B"/>
    <w:rsid w:val="00B26342"/>
    <w:rsid w:val="00B36744"/>
    <w:rsid w:val="00B47214"/>
    <w:rsid w:val="00B53104"/>
    <w:rsid w:val="00B62017"/>
    <w:rsid w:val="00B63B35"/>
    <w:rsid w:val="00B659CB"/>
    <w:rsid w:val="00B66C4A"/>
    <w:rsid w:val="00B70283"/>
    <w:rsid w:val="00B707EF"/>
    <w:rsid w:val="00B77693"/>
    <w:rsid w:val="00B845E1"/>
    <w:rsid w:val="00B86A8B"/>
    <w:rsid w:val="00B938B9"/>
    <w:rsid w:val="00BA0427"/>
    <w:rsid w:val="00BA5881"/>
    <w:rsid w:val="00BA68BC"/>
    <w:rsid w:val="00BB404C"/>
    <w:rsid w:val="00BD6BE7"/>
    <w:rsid w:val="00BE741B"/>
    <w:rsid w:val="00BF00B5"/>
    <w:rsid w:val="00BF1929"/>
    <w:rsid w:val="00BF1E33"/>
    <w:rsid w:val="00BF25BE"/>
    <w:rsid w:val="00C01B38"/>
    <w:rsid w:val="00C231F8"/>
    <w:rsid w:val="00C5123B"/>
    <w:rsid w:val="00C632B2"/>
    <w:rsid w:val="00C658BD"/>
    <w:rsid w:val="00C65DE5"/>
    <w:rsid w:val="00C72230"/>
    <w:rsid w:val="00C91CDF"/>
    <w:rsid w:val="00C95CD4"/>
    <w:rsid w:val="00CE5C0C"/>
    <w:rsid w:val="00CF53AB"/>
    <w:rsid w:val="00CF764B"/>
    <w:rsid w:val="00D17316"/>
    <w:rsid w:val="00D17C96"/>
    <w:rsid w:val="00D22E13"/>
    <w:rsid w:val="00D30253"/>
    <w:rsid w:val="00D30B0B"/>
    <w:rsid w:val="00D31A6E"/>
    <w:rsid w:val="00D32489"/>
    <w:rsid w:val="00D40E75"/>
    <w:rsid w:val="00D4687B"/>
    <w:rsid w:val="00D51B80"/>
    <w:rsid w:val="00D61F8B"/>
    <w:rsid w:val="00D66DD9"/>
    <w:rsid w:val="00D71DC6"/>
    <w:rsid w:val="00D96874"/>
    <w:rsid w:val="00DA0CC0"/>
    <w:rsid w:val="00DB2445"/>
    <w:rsid w:val="00DB4B21"/>
    <w:rsid w:val="00DC0D26"/>
    <w:rsid w:val="00DE2C00"/>
    <w:rsid w:val="00DE70FC"/>
    <w:rsid w:val="00DF173D"/>
    <w:rsid w:val="00E01B38"/>
    <w:rsid w:val="00E169AD"/>
    <w:rsid w:val="00E20F4A"/>
    <w:rsid w:val="00E223F5"/>
    <w:rsid w:val="00E372B7"/>
    <w:rsid w:val="00E45B78"/>
    <w:rsid w:val="00E46DE1"/>
    <w:rsid w:val="00E53407"/>
    <w:rsid w:val="00E71443"/>
    <w:rsid w:val="00E7478F"/>
    <w:rsid w:val="00E7785A"/>
    <w:rsid w:val="00E81EE2"/>
    <w:rsid w:val="00E84DEB"/>
    <w:rsid w:val="00E90711"/>
    <w:rsid w:val="00E91A90"/>
    <w:rsid w:val="00E97884"/>
    <w:rsid w:val="00EA3CBF"/>
    <w:rsid w:val="00EA7874"/>
    <w:rsid w:val="00EB1E04"/>
    <w:rsid w:val="00EB41A5"/>
    <w:rsid w:val="00EB64F7"/>
    <w:rsid w:val="00ED2D72"/>
    <w:rsid w:val="00F124B0"/>
    <w:rsid w:val="00F16D1B"/>
    <w:rsid w:val="00F21371"/>
    <w:rsid w:val="00F334E9"/>
    <w:rsid w:val="00F3633D"/>
    <w:rsid w:val="00F6596F"/>
    <w:rsid w:val="00F670E5"/>
    <w:rsid w:val="00F67AC4"/>
    <w:rsid w:val="00F72CF0"/>
    <w:rsid w:val="00F81CE5"/>
    <w:rsid w:val="00F91D66"/>
    <w:rsid w:val="00FA288D"/>
    <w:rsid w:val="00FB2AA4"/>
    <w:rsid w:val="00FB4BCE"/>
    <w:rsid w:val="00FB7A97"/>
    <w:rsid w:val="00FB7BA6"/>
    <w:rsid w:val="00FE6D22"/>
    <w:rsid w:val="00FE7AEB"/>
    <w:rsid w:val="00FE7B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4B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uiPriority w:val="59"/>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uiPriority w:val="99"/>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uiPriority w:val="99"/>
    <w:rsid w:val="00EA3CBF"/>
    <w:rPr>
      <w:rFonts w:ascii="Calibri" w:eastAsia="Calibri" w:hAnsi="Calibri"/>
      <w:szCs w:val="26"/>
    </w:rPr>
  </w:style>
  <w:style w:type="paragraph" w:customStyle="1" w:styleId="Bullets">
    <w:name w:val="Bullets"/>
    <w:basedOn w:val="BodyText"/>
    <w:link w:val="BulletsChar"/>
    <w:qFormat/>
    <w:rsid w:val="009525D0"/>
    <w:pPr>
      <w:numPr>
        <w:numId w:val="1"/>
      </w:numPr>
      <w:spacing w:after="240"/>
      <w:ind w:left="1418" w:hanging="284"/>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9525D0"/>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numPr>
        <w:numId w:val="3"/>
      </w:numPr>
      <w:spacing w:after="240"/>
    </w:pPr>
    <w:rPr>
      <w:b/>
    </w:rPr>
  </w:style>
  <w:style w:type="paragraph" w:customStyle="1" w:styleId="Paperparalevel2">
    <w:name w:val="Paper para level 2"/>
    <w:basedOn w:val="ListParagraph"/>
    <w:link w:val="Paperparalevel2Char"/>
    <w:qFormat/>
    <w:rsid w:val="00803E68"/>
    <w:pPr>
      <w:numPr>
        <w:ilvl w:val="1"/>
        <w:numId w:val="3"/>
      </w:numPr>
      <w:spacing w:after="240"/>
      <w:ind w:left="1134" w:hanging="567"/>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styleId="PlainText">
    <w:name w:val="Plain Text"/>
    <w:basedOn w:val="Normal"/>
    <w:link w:val="PlainTextChar"/>
    <w:uiPriority w:val="99"/>
    <w:unhideWhenUsed/>
    <w:rsid w:val="00F91D66"/>
    <w:rPr>
      <w:rFonts w:ascii="Calibri" w:eastAsiaTheme="minorEastAsia" w:hAnsi="Calibri"/>
      <w:szCs w:val="21"/>
      <w:lang w:eastAsia="en-GB"/>
    </w:rPr>
  </w:style>
  <w:style w:type="character" w:customStyle="1" w:styleId="PlainTextChar">
    <w:name w:val="Plain Text Char"/>
    <w:basedOn w:val="DefaultParagraphFont"/>
    <w:link w:val="PlainText"/>
    <w:uiPriority w:val="99"/>
    <w:rsid w:val="00F91D66"/>
    <w:rPr>
      <w:rFonts w:ascii="Calibri" w:eastAsiaTheme="minorEastAsia" w:hAnsi="Calibri"/>
      <w:szCs w:val="21"/>
      <w:lang w:eastAsia="en-GB"/>
    </w:rPr>
  </w:style>
  <w:style w:type="paragraph" w:styleId="NoSpacing">
    <w:name w:val="No Spacing"/>
    <w:qFormat/>
    <w:rsid w:val="00F91D66"/>
    <w:pPr>
      <w:spacing w:after="0" w:line="240" w:lineRule="auto"/>
    </w:pPr>
    <w:rPr>
      <w:rFonts w:eastAsiaTheme="minorEastAsia"/>
      <w:lang w:eastAsia="en-GB"/>
    </w:rPr>
  </w:style>
  <w:style w:type="character" w:styleId="Hyperlink">
    <w:name w:val="Hyperlink"/>
    <w:basedOn w:val="DefaultParagraphFont"/>
    <w:uiPriority w:val="99"/>
    <w:unhideWhenUsed/>
    <w:rsid w:val="004673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F0"/>
    <w:pPr>
      <w:spacing w:after="0" w:line="240" w:lineRule="auto"/>
    </w:pPr>
  </w:style>
  <w:style w:type="paragraph" w:styleId="Heading1">
    <w:name w:val="heading 1"/>
    <w:basedOn w:val="Normal"/>
    <w:link w:val="Heading1Char"/>
    <w:uiPriority w:val="1"/>
    <w:qFormat/>
    <w:rsid w:val="00EA3CBF"/>
    <w:pPr>
      <w:keepNext/>
      <w:keepLines/>
      <w:widowControl w:val="0"/>
      <w:spacing w:after="240"/>
      <w:outlineLvl w:val="0"/>
    </w:pPr>
    <w:rPr>
      <w:rFonts w:ascii="Calibri" w:eastAsia="Calibri" w:hAnsi="Calibri"/>
      <w:b/>
      <w:bCs/>
      <w:szCs w:val="26"/>
      <w:lang w:val="en-US"/>
    </w:rPr>
  </w:style>
  <w:style w:type="paragraph" w:styleId="Heading2">
    <w:name w:val="heading 2"/>
    <w:basedOn w:val="Normal"/>
    <w:link w:val="Heading2Char"/>
    <w:uiPriority w:val="1"/>
    <w:qFormat/>
    <w:rsid w:val="00EA3CBF"/>
    <w:pPr>
      <w:keepNext/>
      <w:keepLines/>
      <w:widowControl w:val="0"/>
      <w:spacing w:after="240"/>
      <w:outlineLvl w:val="1"/>
    </w:pPr>
    <w:rPr>
      <w:rFonts w:ascii="Calibri" w:eastAsia="Calibri" w:hAnsi="Calibri"/>
      <w:b/>
      <w:bCs/>
      <w:i/>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FD7"/>
    <w:pPr>
      <w:ind w:left="720"/>
      <w:contextualSpacing/>
    </w:pPr>
  </w:style>
  <w:style w:type="paragraph" w:styleId="Header">
    <w:name w:val="header"/>
    <w:basedOn w:val="Normal"/>
    <w:link w:val="HeaderChar"/>
    <w:uiPriority w:val="99"/>
    <w:unhideWhenUsed/>
    <w:rsid w:val="001B6AFB"/>
    <w:pPr>
      <w:tabs>
        <w:tab w:val="center" w:pos="4513"/>
        <w:tab w:val="right" w:pos="9026"/>
      </w:tabs>
    </w:pPr>
  </w:style>
  <w:style w:type="character" w:customStyle="1" w:styleId="HeaderChar">
    <w:name w:val="Header Char"/>
    <w:basedOn w:val="DefaultParagraphFont"/>
    <w:link w:val="Header"/>
    <w:uiPriority w:val="99"/>
    <w:rsid w:val="001B6AFB"/>
  </w:style>
  <w:style w:type="paragraph" w:styleId="Footer">
    <w:name w:val="footer"/>
    <w:basedOn w:val="Normal"/>
    <w:link w:val="FooterChar"/>
    <w:uiPriority w:val="99"/>
    <w:unhideWhenUsed/>
    <w:rsid w:val="001B6AFB"/>
    <w:pPr>
      <w:tabs>
        <w:tab w:val="center" w:pos="4513"/>
        <w:tab w:val="right" w:pos="9026"/>
      </w:tabs>
    </w:pPr>
  </w:style>
  <w:style w:type="character" w:customStyle="1" w:styleId="FooterChar">
    <w:name w:val="Footer Char"/>
    <w:basedOn w:val="DefaultParagraphFont"/>
    <w:link w:val="Footer"/>
    <w:uiPriority w:val="99"/>
    <w:rsid w:val="001B6AFB"/>
  </w:style>
  <w:style w:type="paragraph" w:styleId="BalloonText">
    <w:name w:val="Balloon Text"/>
    <w:basedOn w:val="Normal"/>
    <w:link w:val="BalloonTextChar"/>
    <w:uiPriority w:val="99"/>
    <w:semiHidden/>
    <w:unhideWhenUsed/>
    <w:rsid w:val="001B6AFB"/>
    <w:rPr>
      <w:rFonts w:ascii="Tahoma" w:hAnsi="Tahoma" w:cs="Tahoma"/>
      <w:sz w:val="16"/>
      <w:szCs w:val="16"/>
    </w:rPr>
  </w:style>
  <w:style w:type="character" w:customStyle="1" w:styleId="BalloonTextChar">
    <w:name w:val="Balloon Text Char"/>
    <w:basedOn w:val="DefaultParagraphFont"/>
    <w:link w:val="BalloonText"/>
    <w:uiPriority w:val="99"/>
    <w:semiHidden/>
    <w:rsid w:val="001B6AFB"/>
    <w:rPr>
      <w:rFonts w:ascii="Tahoma" w:hAnsi="Tahoma" w:cs="Tahoma"/>
      <w:sz w:val="16"/>
      <w:szCs w:val="16"/>
    </w:rPr>
  </w:style>
  <w:style w:type="table" w:styleId="TableGrid">
    <w:name w:val="Table Grid"/>
    <w:basedOn w:val="TableNormal"/>
    <w:uiPriority w:val="59"/>
    <w:rsid w:val="00D3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302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D302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B263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EA3CBF"/>
    <w:rPr>
      <w:rFonts w:ascii="Calibri" w:eastAsia="Calibri" w:hAnsi="Calibri"/>
      <w:b/>
      <w:bCs/>
      <w:szCs w:val="26"/>
      <w:lang w:val="en-US"/>
    </w:rPr>
  </w:style>
  <w:style w:type="character" w:customStyle="1" w:styleId="Heading2Char">
    <w:name w:val="Heading 2 Char"/>
    <w:basedOn w:val="DefaultParagraphFont"/>
    <w:link w:val="Heading2"/>
    <w:uiPriority w:val="1"/>
    <w:rsid w:val="00EA3CBF"/>
    <w:rPr>
      <w:rFonts w:ascii="Calibri" w:eastAsia="Calibri" w:hAnsi="Calibri"/>
      <w:b/>
      <w:bCs/>
      <w:i/>
      <w:szCs w:val="26"/>
      <w:lang w:val="en-US"/>
    </w:rPr>
  </w:style>
  <w:style w:type="paragraph" w:styleId="BodyText">
    <w:name w:val="Body Text"/>
    <w:basedOn w:val="Normal"/>
    <w:link w:val="BodyTextChar"/>
    <w:uiPriority w:val="1"/>
    <w:qFormat/>
    <w:rsid w:val="001663F0"/>
    <w:pPr>
      <w:widowControl w:val="0"/>
      <w:ind w:left="284" w:hanging="284"/>
    </w:pPr>
    <w:rPr>
      <w:rFonts w:ascii="Calibri" w:eastAsia="Calibri" w:hAnsi="Calibri"/>
      <w:szCs w:val="26"/>
    </w:rPr>
  </w:style>
  <w:style w:type="character" w:customStyle="1" w:styleId="BodyTextChar">
    <w:name w:val="Body Text Char"/>
    <w:basedOn w:val="DefaultParagraphFont"/>
    <w:link w:val="BodyText"/>
    <w:uiPriority w:val="1"/>
    <w:rsid w:val="001663F0"/>
    <w:rPr>
      <w:rFonts w:ascii="Calibri" w:eastAsia="Calibri" w:hAnsi="Calibri"/>
      <w:szCs w:val="26"/>
    </w:rPr>
  </w:style>
  <w:style w:type="paragraph" w:customStyle="1" w:styleId="TableParagraph">
    <w:name w:val="Table Paragraph"/>
    <w:basedOn w:val="Normal"/>
    <w:uiPriority w:val="1"/>
    <w:qFormat/>
    <w:rsid w:val="003D462C"/>
    <w:pPr>
      <w:widowControl w:val="0"/>
    </w:pPr>
    <w:rPr>
      <w:lang w:val="en-US"/>
    </w:rPr>
  </w:style>
  <w:style w:type="paragraph" w:customStyle="1" w:styleId="Numbering">
    <w:name w:val="Numbering"/>
    <w:basedOn w:val="BodyText"/>
    <w:link w:val="NumberingChar"/>
    <w:uiPriority w:val="99"/>
    <w:qFormat/>
    <w:rsid w:val="00EA3CBF"/>
    <w:pPr>
      <w:numPr>
        <w:numId w:val="2"/>
      </w:numPr>
      <w:spacing w:after="240"/>
    </w:pPr>
    <w:rPr>
      <w:rFonts w:asciiTheme="minorHAnsi" w:hAnsiTheme="minorHAnsi"/>
      <w:szCs w:val="22"/>
    </w:rPr>
  </w:style>
  <w:style w:type="paragraph" w:customStyle="1" w:styleId="Romannumbering">
    <w:name w:val="Roman numbering"/>
    <w:basedOn w:val="BodyText"/>
    <w:link w:val="RomannumberingChar"/>
    <w:qFormat/>
    <w:rsid w:val="00D31A6E"/>
    <w:pPr>
      <w:numPr>
        <w:ilvl w:val="1"/>
        <w:numId w:val="2"/>
      </w:numPr>
      <w:spacing w:after="240"/>
      <w:ind w:left="1134" w:hanging="567"/>
    </w:pPr>
    <w:rPr>
      <w:rFonts w:asciiTheme="minorHAnsi" w:hAnsiTheme="minorHAnsi"/>
      <w:szCs w:val="22"/>
    </w:rPr>
  </w:style>
  <w:style w:type="character" w:customStyle="1" w:styleId="NumberingChar">
    <w:name w:val="Numbering Char"/>
    <w:basedOn w:val="BodyTextChar"/>
    <w:link w:val="Numbering"/>
    <w:uiPriority w:val="99"/>
    <w:rsid w:val="00EA3CBF"/>
    <w:rPr>
      <w:rFonts w:ascii="Calibri" w:eastAsia="Calibri" w:hAnsi="Calibri"/>
      <w:szCs w:val="26"/>
    </w:rPr>
  </w:style>
  <w:style w:type="paragraph" w:customStyle="1" w:styleId="Bullets">
    <w:name w:val="Bullets"/>
    <w:basedOn w:val="BodyText"/>
    <w:link w:val="BulletsChar"/>
    <w:qFormat/>
    <w:rsid w:val="009525D0"/>
    <w:pPr>
      <w:numPr>
        <w:numId w:val="1"/>
      </w:numPr>
      <w:spacing w:after="240"/>
      <w:ind w:left="1418" w:hanging="284"/>
    </w:pPr>
    <w:rPr>
      <w:rFonts w:asciiTheme="minorHAnsi" w:hAnsiTheme="minorHAnsi"/>
      <w:szCs w:val="22"/>
    </w:rPr>
  </w:style>
  <w:style w:type="character" w:customStyle="1" w:styleId="RomannumberingChar">
    <w:name w:val="Roman numbering Char"/>
    <w:basedOn w:val="BodyTextChar"/>
    <w:link w:val="Romannumbering"/>
    <w:rsid w:val="00D31A6E"/>
    <w:rPr>
      <w:rFonts w:ascii="Calibri" w:eastAsia="Calibri" w:hAnsi="Calibri"/>
      <w:szCs w:val="26"/>
    </w:rPr>
  </w:style>
  <w:style w:type="character" w:styleId="CommentReference">
    <w:name w:val="annotation reference"/>
    <w:basedOn w:val="DefaultParagraphFont"/>
    <w:uiPriority w:val="99"/>
    <w:semiHidden/>
    <w:unhideWhenUsed/>
    <w:rsid w:val="00A074CA"/>
    <w:rPr>
      <w:sz w:val="16"/>
      <w:szCs w:val="16"/>
    </w:rPr>
  </w:style>
  <w:style w:type="character" w:customStyle="1" w:styleId="BulletsChar">
    <w:name w:val="Bullets Char"/>
    <w:basedOn w:val="BodyTextChar"/>
    <w:link w:val="Bullets"/>
    <w:rsid w:val="009525D0"/>
    <w:rPr>
      <w:rFonts w:ascii="Calibri" w:eastAsia="Calibri" w:hAnsi="Calibri"/>
      <w:szCs w:val="26"/>
    </w:rPr>
  </w:style>
  <w:style w:type="paragraph" w:styleId="CommentText">
    <w:name w:val="annotation text"/>
    <w:basedOn w:val="Normal"/>
    <w:link w:val="CommentTextChar"/>
    <w:uiPriority w:val="99"/>
    <w:semiHidden/>
    <w:unhideWhenUsed/>
    <w:rsid w:val="00A074CA"/>
    <w:rPr>
      <w:sz w:val="20"/>
      <w:szCs w:val="20"/>
    </w:rPr>
  </w:style>
  <w:style w:type="character" w:customStyle="1" w:styleId="CommentTextChar">
    <w:name w:val="Comment Text Char"/>
    <w:basedOn w:val="DefaultParagraphFont"/>
    <w:link w:val="CommentText"/>
    <w:uiPriority w:val="99"/>
    <w:semiHidden/>
    <w:rsid w:val="00A074CA"/>
    <w:rPr>
      <w:sz w:val="20"/>
      <w:szCs w:val="20"/>
    </w:rPr>
  </w:style>
  <w:style w:type="paragraph" w:styleId="CommentSubject">
    <w:name w:val="annotation subject"/>
    <w:basedOn w:val="CommentText"/>
    <w:next w:val="CommentText"/>
    <w:link w:val="CommentSubjectChar"/>
    <w:uiPriority w:val="99"/>
    <w:semiHidden/>
    <w:unhideWhenUsed/>
    <w:rsid w:val="00A074CA"/>
    <w:rPr>
      <w:b/>
      <w:bCs/>
    </w:rPr>
  </w:style>
  <w:style w:type="character" w:customStyle="1" w:styleId="CommentSubjectChar">
    <w:name w:val="Comment Subject Char"/>
    <w:basedOn w:val="CommentTextChar"/>
    <w:link w:val="CommentSubject"/>
    <w:uiPriority w:val="99"/>
    <w:semiHidden/>
    <w:rsid w:val="00A074CA"/>
    <w:rPr>
      <w:b/>
      <w:bCs/>
      <w:sz w:val="20"/>
      <w:szCs w:val="20"/>
    </w:rPr>
  </w:style>
  <w:style w:type="paragraph" w:customStyle="1" w:styleId="Paperparalevel1">
    <w:name w:val="Paper para level 1"/>
    <w:basedOn w:val="ListParagraph"/>
    <w:link w:val="Paperparalevel1Char"/>
    <w:qFormat/>
    <w:rsid w:val="00925AF2"/>
    <w:pPr>
      <w:numPr>
        <w:numId w:val="3"/>
      </w:numPr>
      <w:spacing w:after="240"/>
    </w:pPr>
    <w:rPr>
      <w:b/>
    </w:rPr>
  </w:style>
  <w:style w:type="paragraph" w:customStyle="1" w:styleId="Paperparalevel2">
    <w:name w:val="Paper para level 2"/>
    <w:basedOn w:val="ListParagraph"/>
    <w:link w:val="Paperparalevel2Char"/>
    <w:qFormat/>
    <w:rsid w:val="00803E68"/>
    <w:pPr>
      <w:numPr>
        <w:ilvl w:val="1"/>
        <w:numId w:val="3"/>
      </w:numPr>
      <w:spacing w:after="240"/>
      <w:ind w:left="1134" w:hanging="567"/>
      <w:contextualSpacing w:val="0"/>
    </w:pPr>
  </w:style>
  <w:style w:type="character" w:customStyle="1" w:styleId="ListParagraphChar">
    <w:name w:val="List Paragraph Char"/>
    <w:basedOn w:val="DefaultParagraphFont"/>
    <w:link w:val="ListParagraph"/>
    <w:uiPriority w:val="34"/>
    <w:rsid w:val="00925AF2"/>
  </w:style>
  <w:style w:type="character" w:customStyle="1" w:styleId="Paperparalevel1Char">
    <w:name w:val="Paper para level 1 Char"/>
    <w:basedOn w:val="ListParagraphChar"/>
    <w:link w:val="Paperparalevel1"/>
    <w:rsid w:val="00925AF2"/>
    <w:rPr>
      <w:b/>
    </w:rPr>
  </w:style>
  <w:style w:type="character" w:customStyle="1" w:styleId="Paperparalevel2Char">
    <w:name w:val="Paper para level 2 Char"/>
    <w:basedOn w:val="ListParagraphChar"/>
    <w:link w:val="Paperparalevel2"/>
    <w:rsid w:val="00803E68"/>
  </w:style>
  <w:style w:type="paragraph" w:styleId="PlainText">
    <w:name w:val="Plain Text"/>
    <w:basedOn w:val="Normal"/>
    <w:link w:val="PlainTextChar"/>
    <w:uiPriority w:val="99"/>
    <w:unhideWhenUsed/>
    <w:rsid w:val="00F91D66"/>
    <w:rPr>
      <w:rFonts w:ascii="Calibri" w:eastAsiaTheme="minorEastAsia" w:hAnsi="Calibri"/>
      <w:szCs w:val="21"/>
      <w:lang w:eastAsia="en-GB"/>
    </w:rPr>
  </w:style>
  <w:style w:type="character" w:customStyle="1" w:styleId="PlainTextChar">
    <w:name w:val="Plain Text Char"/>
    <w:basedOn w:val="DefaultParagraphFont"/>
    <w:link w:val="PlainText"/>
    <w:uiPriority w:val="99"/>
    <w:rsid w:val="00F91D66"/>
    <w:rPr>
      <w:rFonts w:ascii="Calibri" w:eastAsiaTheme="minorEastAsia" w:hAnsi="Calibri"/>
      <w:szCs w:val="21"/>
      <w:lang w:eastAsia="en-GB"/>
    </w:rPr>
  </w:style>
  <w:style w:type="paragraph" w:styleId="NoSpacing">
    <w:name w:val="No Spacing"/>
    <w:qFormat/>
    <w:rsid w:val="00F91D66"/>
    <w:pPr>
      <w:spacing w:after="0" w:line="240" w:lineRule="auto"/>
    </w:pPr>
    <w:rPr>
      <w:rFonts w:eastAsiaTheme="minorEastAsia"/>
      <w:lang w:eastAsia="en-GB"/>
    </w:rPr>
  </w:style>
  <w:style w:type="character" w:styleId="Hyperlink">
    <w:name w:val="Hyperlink"/>
    <w:basedOn w:val="DefaultParagraphFont"/>
    <w:uiPriority w:val="99"/>
    <w:unhideWhenUsed/>
    <w:rsid w:val="00467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4366">
      <w:bodyDiv w:val="1"/>
      <w:marLeft w:val="0"/>
      <w:marRight w:val="0"/>
      <w:marTop w:val="0"/>
      <w:marBottom w:val="0"/>
      <w:divBdr>
        <w:top w:val="none" w:sz="0" w:space="0" w:color="auto"/>
        <w:left w:val="none" w:sz="0" w:space="0" w:color="auto"/>
        <w:bottom w:val="none" w:sz="0" w:space="0" w:color="auto"/>
        <w:right w:val="none" w:sz="0" w:space="0" w:color="auto"/>
      </w:divBdr>
    </w:div>
    <w:div w:id="245192544">
      <w:bodyDiv w:val="1"/>
      <w:marLeft w:val="0"/>
      <w:marRight w:val="0"/>
      <w:marTop w:val="0"/>
      <w:marBottom w:val="0"/>
      <w:divBdr>
        <w:top w:val="none" w:sz="0" w:space="0" w:color="auto"/>
        <w:left w:val="none" w:sz="0" w:space="0" w:color="auto"/>
        <w:bottom w:val="none" w:sz="0" w:space="0" w:color="auto"/>
        <w:right w:val="none" w:sz="0" w:space="0" w:color="auto"/>
      </w:divBdr>
    </w:div>
    <w:div w:id="293215634">
      <w:bodyDiv w:val="1"/>
      <w:marLeft w:val="0"/>
      <w:marRight w:val="0"/>
      <w:marTop w:val="0"/>
      <w:marBottom w:val="0"/>
      <w:divBdr>
        <w:top w:val="none" w:sz="0" w:space="0" w:color="auto"/>
        <w:left w:val="none" w:sz="0" w:space="0" w:color="auto"/>
        <w:bottom w:val="none" w:sz="0" w:space="0" w:color="auto"/>
        <w:right w:val="none" w:sz="0" w:space="0" w:color="auto"/>
      </w:divBdr>
    </w:div>
    <w:div w:id="795486283">
      <w:bodyDiv w:val="1"/>
      <w:marLeft w:val="0"/>
      <w:marRight w:val="0"/>
      <w:marTop w:val="0"/>
      <w:marBottom w:val="0"/>
      <w:divBdr>
        <w:top w:val="none" w:sz="0" w:space="0" w:color="auto"/>
        <w:left w:val="none" w:sz="0" w:space="0" w:color="auto"/>
        <w:bottom w:val="none" w:sz="0" w:space="0" w:color="auto"/>
        <w:right w:val="none" w:sz="0" w:space="0" w:color="auto"/>
      </w:divBdr>
    </w:div>
    <w:div w:id="826752668">
      <w:bodyDiv w:val="1"/>
      <w:marLeft w:val="0"/>
      <w:marRight w:val="0"/>
      <w:marTop w:val="0"/>
      <w:marBottom w:val="0"/>
      <w:divBdr>
        <w:top w:val="none" w:sz="0" w:space="0" w:color="auto"/>
        <w:left w:val="none" w:sz="0" w:space="0" w:color="auto"/>
        <w:bottom w:val="none" w:sz="0" w:space="0" w:color="auto"/>
        <w:right w:val="none" w:sz="0" w:space="0" w:color="auto"/>
      </w:divBdr>
      <w:divsChild>
        <w:div w:id="1769621250">
          <w:marLeft w:val="0"/>
          <w:marRight w:val="0"/>
          <w:marTop w:val="0"/>
          <w:marBottom w:val="0"/>
          <w:divBdr>
            <w:top w:val="none" w:sz="0" w:space="0" w:color="auto"/>
            <w:left w:val="none" w:sz="0" w:space="0" w:color="auto"/>
            <w:bottom w:val="none" w:sz="0" w:space="0" w:color="auto"/>
            <w:right w:val="none" w:sz="0" w:space="0" w:color="auto"/>
          </w:divBdr>
        </w:div>
        <w:div w:id="1140269341">
          <w:marLeft w:val="0"/>
          <w:marRight w:val="0"/>
          <w:marTop w:val="0"/>
          <w:marBottom w:val="0"/>
          <w:divBdr>
            <w:top w:val="none" w:sz="0" w:space="0" w:color="auto"/>
            <w:left w:val="none" w:sz="0" w:space="0" w:color="auto"/>
            <w:bottom w:val="none" w:sz="0" w:space="0" w:color="auto"/>
            <w:right w:val="none" w:sz="0" w:space="0" w:color="auto"/>
          </w:divBdr>
        </w:div>
        <w:div w:id="1910652490">
          <w:marLeft w:val="0"/>
          <w:marRight w:val="0"/>
          <w:marTop w:val="0"/>
          <w:marBottom w:val="0"/>
          <w:divBdr>
            <w:top w:val="none" w:sz="0" w:space="0" w:color="auto"/>
            <w:left w:val="none" w:sz="0" w:space="0" w:color="auto"/>
            <w:bottom w:val="none" w:sz="0" w:space="0" w:color="auto"/>
            <w:right w:val="none" w:sz="0" w:space="0" w:color="auto"/>
          </w:divBdr>
        </w:div>
        <w:div w:id="653148798">
          <w:marLeft w:val="0"/>
          <w:marRight w:val="0"/>
          <w:marTop w:val="0"/>
          <w:marBottom w:val="0"/>
          <w:divBdr>
            <w:top w:val="none" w:sz="0" w:space="0" w:color="auto"/>
            <w:left w:val="none" w:sz="0" w:space="0" w:color="auto"/>
            <w:bottom w:val="none" w:sz="0" w:space="0" w:color="auto"/>
            <w:right w:val="none" w:sz="0" w:space="0" w:color="auto"/>
          </w:divBdr>
        </w:div>
        <w:div w:id="1836990587">
          <w:marLeft w:val="0"/>
          <w:marRight w:val="0"/>
          <w:marTop w:val="0"/>
          <w:marBottom w:val="0"/>
          <w:divBdr>
            <w:top w:val="none" w:sz="0" w:space="0" w:color="auto"/>
            <w:left w:val="none" w:sz="0" w:space="0" w:color="auto"/>
            <w:bottom w:val="none" w:sz="0" w:space="0" w:color="auto"/>
            <w:right w:val="none" w:sz="0" w:space="0" w:color="auto"/>
          </w:divBdr>
        </w:div>
        <w:div w:id="1138230684">
          <w:marLeft w:val="0"/>
          <w:marRight w:val="0"/>
          <w:marTop w:val="0"/>
          <w:marBottom w:val="0"/>
          <w:divBdr>
            <w:top w:val="none" w:sz="0" w:space="0" w:color="auto"/>
            <w:left w:val="none" w:sz="0" w:space="0" w:color="auto"/>
            <w:bottom w:val="none" w:sz="0" w:space="0" w:color="auto"/>
            <w:right w:val="none" w:sz="0" w:space="0" w:color="auto"/>
          </w:divBdr>
        </w:div>
        <w:div w:id="981689324">
          <w:marLeft w:val="0"/>
          <w:marRight w:val="0"/>
          <w:marTop w:val="0"/>
          <w:marBottom w:val="0"/>
          <w:divBdr>
            <w:top w:val="none" w:sz="0" w:space="0" w:color="auto"/>
            <w:left w:val="none" w:sz="0" w:space="0" w:color="auto"/>
            <w:bottom w:val="none" w:sz="0" w:space="0" w:color="auto"/>
            <w:right w:val="none" w:sz="0" w:space="0" w:color="auto"/>
          </w:divBdr>
        </w:div>
        <w:div w:id="46878856">
          <w:marLeft w:val="0"/>
          <w:marRight w:val="0"/>
          <w:marTop w:val="0"/>
          <w:marBottom w:val="0"/>
          <w:divBdr>
            <w:top w:val="none" w:sz="0" w:space="0" w:color="auto"/>
            <w:left w:val="none" w:sz="0" w:space="0" w:color="auto"/>
            <w:bottom w:val="none" w:sz="0" w:space="0" w:color="auto"/>
            <w:right w:val="none" w:sz="0" w:space="0" w:color="auto"/>
          </w:divBdr>
        </w:div>
        <w:div w:id="345252461">
          <w:marLeft w:val="0"/>
          <w:marRight w:val="0"/>
          <w:marTop w:val="0"/>
          <w:marBottom w:val="0"/>
          <w:divBdr>
            <w:top w:val="none" w:sz="0" w:space="0" w:color="auto"/>
            <w:left w:val="none" w:sz="0" w:space="0" w:color="auto"/>
            <w:bottom w:val="none" w:sz="0" w:space="0" w:color="auto"/>
            <w:right w:val="none" w:sz="0" w:space="0" w:color="auto"/>
          </w:divBdr>
        </w:div>
        <w:div w:id="1340040706">
          <w:marLeft w:val="0"/>
          <w:marRight w:val="0"/>
          <w:marTop w:val="0"/>
          <w:marBottom w:val="0"/>
          <w:divBdr>
            <w:top w:val="none" w:sz="0" w:space="0" w:color="auto"/>
            <w:left w:val="none" w:sz="0" w:space="0" w:color="auto"/>
            <w:bottom w:val="none" w:sz="0" w:space="0" w:color="auto"/>
            <w:right w:val="none" w:sz="0" w:space="0" w:color="auto"/>
          </w:divBdr>
        </w:div>
        <w:div w:id="188875174">
          <w:marLeft w:val="0"/>
          <w:marRight w:val="0"/>
          <w:marTop w:val="0"/>
          <w:marBottom w:val="0"/>
          <w:divBdr>
            <w:top w:val="none" w:sz="0" w:space="0" w:color="auto"/>
            <w:left w:val="none" w:sz="0" w:space="0" w:color="auto"/>
            <w:bottom w:val="none" w:sz="0" w:space="0" w:color="auto"/>
            <w:right w:val="none" w:sz="0" w:space="0" w:color="auto"/>
          </w:divBdr>
        </w:div>
        <w:div w:id="1209950820">
          <w:marLeft w:val="0"/>
          <w:marRight w:val="0"/>
          <w:marTop w:val="0"/>
          <w:marBottom w:val="0"/>
          <w:divBdr>
            <w:top w:val="none" w:sz="0" w:space="0" w:color="auto"/>
            <w:left w:val="none" w:sz="0" w:space="0" w:color="auto"/>
            <w:bottom w:val="none" w:sz="0" w:space="0" w:color="auto"/>
            <w:right w:val="none" w:sz="0" w:space="0" w:color="auto"/>
          </w:divBdr>
        </w:div>
        <w:div w:id="983391826">
          <w:marLeft w:val="0"/>
          <w:marRight w:val="0"/>
          <w:marTop w:val="0"/>
          <w:marBottom w:val="0"/>
          <w:divBdr>
            <w:top w:val="none" w:sz="0" w:space="0" w:color="auto"/>
            <w:left w:val="none" w:sz="0" w:space="0" w:color="auto"/>
            <w:bottom w:val="none" w:sz="0" w:space="0" w:color="auto"/>
            <w:right w:val="none" w:sz="0" w:space="0" w:color="auto"/>
          </w:divBdr>
        </w:div>
        <w:div w:id="316878803">
          <w:marLeft w:val="0"/>
          <w:marRight w:val="0"/>
          <w:marTop w:val="0"/>
          <w:marBottom w:val="0"/>
          <w:divBdr>
            <w:top w:val="none" w:sz="0" w:space="0" w:color="auto"/>
            <w:left w:val="none" w:sz="0" w:space="0" w:color="auto"/>
            <w:bottom w:val="none" w:sz="0" w:space="0" w:color="auto"/>
            <w:right w:val="none" w:sz="0" w:space="0" w:color="auto"/>
          </w:divBdr>
        </w:div>
        <w:div w:id="1466191895">
          <w:marLeft w:val="0"/>
          <w:marRight w:val="0"/>
          <w:marTop w:val="0"/>
          <w:marBottom w:val="0"/>
          <w:divBdr>
            <w:top w:val="none" w:sz="0" w:space="0" w:color="auto"/>
            <w:left w:val="none" w:sz="0" w:space="0" w:color="auto"/>
            <w:bottom w:val="none" w:sz="0" w:space="0" w:color="auto"/>
            <w:right w:val="none" w:sz="0" w:space="0" w:color="auto"/>
          </w:divBdr>
        </w:div>
        <w:div w:id="623930415">
          <w:marLeft w:val="0"/>
          <w:marRight w:val="0"/>
          <w:marTop w:val="0"/>
          <w:marBottom w:val="0"/>
          <w:divBdr>
            <w:top w:val="none" w:sz="0" w:space="0" w:color="auto"/>
            <w:left w:val="none" w:sz="0" w:space="0" w:color="auto"/>
            <w:bottom w:val="none" w:sz="0" w:space="0" w:color="auto"/>
            <w:right w:val="none" w:sz="0" w:space="0" w:color="auto"/>
          </w:divBdr>
        </w:div>
        <w:div w:id="1858152496">
          <w:marLeft w:val="0"/>
          <w:marRight w:val="0"/>
          <w:marTop w:val="0"/>
          <w:marBottom w:val="0"/>
          <w:divBdr>
            <w:top w:val="none" w:sz="0" w:space="0" w:color="auto"/>
            <w:left w:val="none" w:sz="0" w:space="0" w:color="auto"/>
            <w:bottom w:val="none" w:sz="0" w:space="0" w:color="auto"/>
            <w:right w:val="none" w:sz="0" w:space="0" w:color="auto"/>
          </w:divBdr>
        </w:div>
        <w:div w:id="1600601546">
          <w:marLeft w:val="0"/>
          <w:marRight w:val="0"/>
          <w:marTop w:val="0"/>
          <w:marBottom w:val="0"/>
          <w:divBdr>
            <w:top w:val="none" w:sz="0" w:space="0" w:color="auto"/>
            <w:left w:val="none" w:sz="0" w:space="0" w:color="auto"/>
            <w:bottom w:val="none" w:sz="0" w:space="0" w:color="auto"/>
            <w:right w:val="none" w:sz="0" w:space="0" w:color="auto"/>
          </w:divBdr>
        </w:div>
        <w:div w:id="2518326">
          <w:marLeft w:val="0"/>
          <w:marRight w:val="0"/>
          <w:marTop w:val="0"/>
          <w:marBottom w:val="0"/>
          <w:divBdr>
            <w:top w:val="none" w:sz="0" w:space="0" w:color="auto"/>
            <w:left w:val="none" w:sz="0" w:space="0" w:color="auto"/>
            <w:bottom w:val="none" w:sz="0" w:space="0" w:color="auto"/>
            <w:right w:val="none" w:sz="0" w:space="0" w:color="auto"/>
          </w:divBdr>
        </w:div>
        <w:div w:id="1493443853">
          <w:marLeft w:val="0"/>
          <w:marRight w:val="0"/>
          <w:marTop w:val="0"/>
          <w:marBottom w:val="0"/>
          <w:divBdr>
            <w:top w:val="none" w:sz="0" w:space="0" w:color="auto"/>
            <w:left w:val="none" w:sz="0" w:space="0" w:color="auto"/>
            <w:bottom w:val="none" w:sz="0" w:space="0" w:color="auto"/>
            <w:right w:val="none" w:sz="0" w:space="0" w:color="auto"/>
          </w:divBdr>
        </w:div>
        <w:div w:id="2097245318">
          <w:marLeft w:val="0"/>
          <w:marRight w:val="0"/>
          <w:marTop w:val="0"/>
          <w:marBottom w:val="0"/>
          <w:divBdr>
            <w:top w:val="none" w:sz="0" w:space="0" w:color="auto"/>
            <w:left w:val="none" w:sz="0" w:space="0" w:color="auto"/>
            <w:bottom w:val="none" w:sz="0" w:space="0" w:color="auto"/>
            <w:right w:val="none" w:sz="0" w:space="0" w:color="auto"/>
          </w:divBdr>
        </w:div>
        <w:div w:id="1736201962">
          <w:marLeft w:val="0"/>
          <w:marRight w:val="0"/>
          <w:marTop w:val="0"/>
          <w:marBottom w:val="0"/>
          <w:divBdr>
            <w:top w:val="none" w:sz="0" w:space="0" w:color="auto"/>
            <w:left w:val="none" w:sz="0" w:space="0" w:color="auto"/>
            <w:bottom w:val="none" w:sz="0" w:space="0" w:color="auto"/>
            <w:right w:val="none" w:sz="0" w:space="0" w:color="auto"/>
          </w:divBdr>
        </w:div>
        <w:div w:id="1830058181">
          <w:marLeft w:val="0"/>
          <w:marRight w:val="0"/>
          <w:marTop w:val="0"/>
          <w:marBottom w:val="0"/>
          <w:divBdr>
            <w:top w:val="none" w:sz="0" w:space="0" w:color="auto"/>
            <w:left w:val="none" w:sz="0" w:space="0" w:color="auto"/>
            <w:bottom w:val="none" w:sz="0" w:space="0" w:color="auto"/>
            <w:right w:val="none" w:sz="0" w:space="0" w:color="auto"/>
          </w:divBdr>
        </w:div>
        <w:div w:id="1219318811">
          <w:marLeft w:val="0"/>
          <w:marRight w:val="0"/>
          <w:marTop w:val="0"/>
          <w:marBottom w:val="0"/>
          <w:divBdr>
            <w:top w:val="none" w:sz="0" w:space="0" w:color="auto"/>
            <w:left w:val="none" w:sz="0" w:space="0" w:color="auto"/>
            <w:bottom w:val="none" w:sz="0" w:space="0" w:color="auto"/>
            <w:right w:val="none" w:sz="0" w:space="0" w:color="auto"/>
          </w:divBdr>
        </w:div>
      </w:divsChild>
    </w:div>
    <w:div w:id="831603536">
      <w:bodyDiv w:val="1"/>
      <w:marLeft w:val="0"/>
      <w:marRight w:val="0"/>
      <w:marTop w:val="0"/>
      <w:marBottom w:val="0"/>
      <w:divBdr>
        <w:top w:val="none" w:sz="0" w:space="0" w:color="auto"/>
        <w:left w:val="none" w:sz="0" w:space="0" w:color="auto"/>
        <w:bottom w:val="none" w:sz="0" w:space="0" w:color="auto"/>
        <w:right w:val="none" w:sz="0" w:space="0" w:color="auto"/>
      </w:divBdr>
    </w:div>
    <w:div w:id="18961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sult.gov.scot/equality-unit/gender-representation-on-public-board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E252-8BD3-4F61-8C55-B3444F6E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henderson</dc:creator>
  <cp:lastModifiedBy>setup</cp:lastModifiedBy>
  <cp:revision>3</cp:revision>
  <cp:lastPrinted>2017-04-26T14:15:00Z</cp:lastPrinted>
  <dcterms:created xsi:type="dcterms:W3CDTF">2019-06-24T14:03:00Z</dcterms:created>
  <dcterms:modified xsi:type="dcterms:W3CDTF">2019-06-24T14:24:00Z</dcterms:modified>
</cp:coreProperties>
</file>