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2C0BBD70" wp14:editId="596F2948">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rsidR="00197F1D" w:rsidRDefault="00197F1D" w:rsidP="00197F1D">
      <w:pPr>
        <w:rPr>
          <w:b/>
          <w:sz w:val="24"/>
          <w:szCs w:val="24"/>
        </w:rPr>
      </w:pPr>
    </w:p>
    <w:p w:rsidR="00197F1D" w:rsidRDefault="00197F1D" w:rsidP="00197F1D">
      <w:pPr>
        <w:rPr>
          <w:b/>
          <w:sz w:val="24"/>
          <w:szCs w:val="24"/>
        </w:rPr>
      </w:pPr>
    </w:p>
    <w:p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rsidTr="009F52B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197F1D" w:rsidRPr="00C95CD4" w:rsidRDefault="00AA7203" w:rsidP="006B3A95">
            <w:pPr>
              <w:spacing w:line="360" w:lineRule="auto"/>
              <w:rPr>
                <w:b/>
                <w:sz w:val="28"/>
                <w:szCs w:val="28"/>
              </w:rPr>
            </w:pPr>
            <w:r>
              <w:rPr>
                <w:sz w:val="28"/>
                <w:szCs w:val="28"/>
              </w:rPr>
              <w:t>Performance and Resources Committee</w:t>
            </w:r>
            <w:r w:rsidR="0028440A">
              <w:rPr>
                <w:sz w:val="28"/>
                <w:szCs w:val="28"/>
              </w:rPr>
              <w:t xml:space="preserve"> </w:t>
            </w:r>
            <w:r w:rsidR="0028440A" w:rsidRPr="00C95CD4">
              <w:rPr>
                <w:sz w:val="28"/>
                <w:szCs w:val="28"/>
              </w:rPr>
              <w:t>Meeting</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197F1D" w:rsidRPr="00C95CD4" w:rsidRDefault="00197F1D" w:rsidP="009F52B8">
            <w:pPr>
              <w:spacing w:line="360" w:lineRule="auto"/>
            </w:pPr>
            <w:r w:rsidRPr="00C95CD4">
              <w:t xml:space="preserve">Date of Meeting </w:t>
            </w:r>
          </w:p>
        </w:tc>
        <w:tc>
          <w:tcPr>
            <w:tcW w:w="6866" w:type="dxa"/>
            <w:tcBorders>
              <w:top w:val="single" w:sz="4" w:space="0" w:color="548DD4" w:themeColor="text2" w:themeTint="99"/>
              <w:right w:val="nil"/>
            </w:tcBorders>
          </w:tcPr>
          <w:p w:rsidR="00197F1D" w:rsidRPr="00C95CD4" w:rsidRDefault="00A66B88" w:rsidP="0073094C">
            <w:pPr>
              <w:spacing w:line="360" w:lineRule="auto"/>
              <w:cnfStyle w:val="000000100000" w:firstRow="0" w:lastRow="0" w:firstColumn="0" w:lastColumn="0" w:oddVBand="0" w:evenVBand="0" w:oddHBand="1" w:evenHBand="0" w:firstRowFirstColumn="0" w:firstRowLastColumn="0" w:lastRowFirstColumn="0" w:lastRowLastColumn="0"/>
            </w:pPr>
            <w:r>
              <w:t>Wednes</w:t>
            </w:r>
            <w:r w:rsidR="00AD4C3F">
              <w:t>day</w:t>
            </w:r>
            <w:r w:rsidR="00DD036D">
              <w:t xml:space="preserve"> </w:t>
            </w:r>
            <w:r w:rsidR="00FE62A1">
              <w:t>18 Decem</w:t>
            </w:r>
            <w:r w:rsidR="0073094C">
              <w:t>b</w:t>
            </w:r>
            <w:r>
              <w:t>er</w:t>
            </w:r>
            <w:r w:rsidR="00DD48C1">
              <w:t xml:space="preserve"> 201</w:t>
            </w:r>
            <w:r w:rsidR="00FE62A1">
              <w:t>9</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Paper Title</w:t>
            </w:r>
          </w:p>
        </w:tc>
        <w:tc>
          <w:tcPr>
            <w:tcW w:w="6866" w:type="dxa"/>
            <w:tcBorders>
              <w:top w:val="nil"/>
              <w:bottom w:val="nil"/>
              <w:right w:val="nil"/>
            </w:tcBorders>
          </w:tcPr>
          <w:p w:rsidR="00197F1D" w:rsidRPr="00C95CD4" w:rsidRDefault="00A21EBD" w:rsidP="00F72FB0">
            <w:pPr>
              <w:spacing w:line="360" w:lineRule="auto"/>
              <w:cnfStyle w:val="000000000000" w:firstRow="0" w:lastRow="0" w:firstColumn="0" w:lastColumn="0" w:oddVBand="0" w:evenVBand="0" w:oddHBand="0" w:evenHBand="0" w:firstRowFirstColumn="0" w:firstRowLastColumn="0" w:lastRowFirstColumn="0" w:lastRowLastColumn="0"/>
            </w:pPr>
            <w:r>
              <w:t>Flexible Workforce Development Fund</w:t>
            </w:r>
            <w:r w:rsidR="0061793F">
              <w:t xml:space="preserve"> – </w:t>
            </w:r>
            <w:r w:rsidR="00EC36E6">
              <w:t>2019-20</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Agenda Item</w:t>
            </w:r>
          </w:p>
        </w:tc>
        <w:tc>
          <w:tcPr>
            <w:tcW w:w="6866" w:type="dxa"/>
            <w:tcBorders>
              <w:right w:val="nil"/>
            </w:tcBorders>
          </w:tcPr>
          <w:p w:rsidR="00197F1D" w:rsidRPr="00C95CD4" w:rsidRDefault="008B09BF" w:rsidP="009F52B8">
            <w:pPr>
              <w:spacing w:line="360" w:lineRule="auto"/>
              <w:cnfStyle w:val="000000100000" w:firstRow="0" w:lastRow="0" w:firstColumn="0" w:lastColumn="0" w:oddVBand="0" w:evenVBand="0" w:oddHBand="1" w:evenHBand="0" w:firstRowFirstColumn="0" w:firstRowLastColumn="0" w:lastRowFirstColumn="0" w:lastRowLastColumn="0"/>
            </w:pPr>
            <w:r>
              <w:t>11</w:t>
            </w:r>
            <w:bookmarkStart w:id="0" w:name="_GoBack"/>
            <w:bookmarkEnd w:id="0"/>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Paper Number</w:t>
            </w:r>
          </w:p>
        </w:tc>
        <w:tc>
          <w:tcPr>
            <w:tcW w:w="6866" w:type="dxa"/>
            <w:tcBorders>
              <w:right w:val="nil"/>
            </w:tcBorders>
          </w:tcPr>
          <w:p w:rsidR="00197F1D" w:rsidRPr="00C95CD4" w:rsidRDefault="00A26348" w:rsidP="0073094C">
            <w:pPr>
              <w:spacing w:line="360" w:lineRule="auto"/>
              <w:cnfStyle w:val="000000000000" w:firstRow="0" w:lastRow="0" w:firstColumn="0" w:lastColumn="0" w:oddVBand="0" w:evenVBand="0" w:oddHBand="0" w:evenHBand="0" w:firstRowFirstColumn="0" w:firstRowLastColumn="0" w:lastRowFirstColumn="0" w:lastRowLastColumn="0"/>
            </w:pPr>
            <w:r>
              <w:t>PRC2-G</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 xml:space="preserve">Responsible Officer </w:t>
            </w:r>
          </w:p>
        </w:tc>
        <w:tc>
          <w:tcPr>
            <w:tcW w:w="6866" w:type="dxa"/>
            <w:tcBorders>
              <w:right w:val="nil"/>
            </w:tcBorders>
          </w:tcPr>
          <w:p w:rsidR="00815F48" w:rsidRPr="00C95CD4" w:rsidRDefault="00A33F2A" w:rsidP="00E17B77">
            <w:pPr>
              <w:spacing w:line="360" w:lineRule="auto"/>
              <w:cnfStyle w:val="000000100000" w:firstRow="0" w:lastRow="0" w:firstColumn="0" w:lastColumn="0" w:oddVBand="0" w:evenVBand="0" w:oddHBand="1" w:evenHBand="0" w:firstRowFirstColumn="0" w:firstRowLastColumn="0" w:lastRowFirstColumn="0" w:lastRowLastColumn="0"/>
            </w:pPr>
            <w:r>
              <w:t xml:space="preserve">Jim Godfrey, </w:t>
            </w:r>
            <w:r w:rsidR="00A21EBD">
              <w:t>Finance and Resources Director</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323AA5" w:rsidP="009F52B8">
            <w:pPr>
              <w:spacing w:line="360" w:lineRule="auto"/>
            </w:pPr>
            <w:r>
              <w:t xml:space="preserve">Recommended </w:t>
            </w:r>
            <w:r w:rsidR="00197F1D" w:rsidRPr="00C95CD4">
              <w:t>Status</w:t>
            </w:r>
          </w:p>
        </w:tc>
        <w:tc>
          <w:tcPr>
            <w:tcW w:w="6866" w:type="dxa"/>
            <w:tcBorders>
              <w:right w:val="nil"/>
            </w:tcBorders>
          </w:tcPr>
          <w:p w:rsidR="00197F1D" w:rsidRPr="00C95CD4" w:rsidRDefault="00197F1D" w:rsidP="0074640E">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r>
              <w:t xml:space="preserve"> </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197F1D" w:rsidRPr="00C95CD4" w:rsidRDefault="00197F1D" w:rsidP="009F52B8">
            <w:pPr>
              <w:spacing w:line="360" w:lineRule="auto"/>
            </w:pPr>
            <w:r w:rsidRPr="00C95CD4">
              <w:t>Action</w:t>
            </w:r>
          </w:p>
        </w:tc>
        <w:tc>
          <w:tcPr>
            <w:tcW w:w="6866" w:type="dxa"/>
            <w:tcBorders>
              <w:bottom w:val="single" w:sz="8" w:space="0" w:color="4F81BD" w:themeColor="accent1"/>
              <w:right w:val="nil"/>
            </w:tcBorders>
          </w:tcPr>
          <w:p w:rsidR="00197F1D" w:rsidRPr="00C95CD4" w:rsidRDefault="00197F1D" w:rsidP="009A4D18">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9A4D18">
              <w:t>Noting</w:t>
            </w:r>
          </w:p>
        </w:tc>
      </w:tr>
    </w:tbl>
    <w:p w:rsidR="00F412D3" w:rsidRDefault="00F412D3"/>
    <w:p w:rsidR="00252D89" w:rsidRPr="00925AF2" w:rsidRDefault="00252D89" w:rsidP="00890495">
      <w:pPr>
        <w:pStyle w:val="Paperparalevel1"/>
        <w:ind w:left="567" w:hanging="567"/>
      </w:pPr>
      <w:r w:rsidRPr="00925AF2">
        <w:t>Report Purpose</w:t>
      </w:r>
    </w:p>
    <w:p w:rsidR="00252D89" w:rsidRPr="000624FE" w:rsidRDefault="00F6008E" w:rsidP="00890495">
      <w:pPr>
        <w:pStyle w:val="Paperparalevel2"/>
        <w:ind w:left="1134" w:hanging="567"/>
      </w:pPr>
      <w:r>
        <w:t xml:space="preserve">The purpose of this report is to provide an update in respect of the </w:t>
      </w:r>
      <w:r w:rsidR="00A21EBD">
        <w:t>Flexible Workforce Development Fund</w:t>
      </w:r>
      <w:r>
        <w:t>.</w:t>
      </w:r>
    </w:p>
    <w:p w:rsidR="00252D89" w:rsidRDefault="00252D89" w:rsidP="00915C47">
      <w:pPr>
        <w:pStyle w:val="Paperparalevel1"/>
        <w:ind w:left="567" w:hanging="567"/>
      </w:pPr>
      <w:r w:rsidRPr="00AA7203">
        <w:t>Recommendations</w:t>
      </w:r>
    </w:p>
    <w:p w:rsidR="007D5A77" w:rsidRDefault="00D86985" w:rsidP="00991278">
      <w:pPr>
        <w:pStyle w:val="Paperparalevel2"/>
        <w:ind w:left="1134" w:hanging="567"/>
      </w:pPr>
      <w:r w:rsidRPr="00D86985">
        <w:t xml:space="preserve">The </w:t>
      </w:r>
      <w:r>
        <w:t>Committee</w:t>
      </w:r>
      <w:r w:rsidRPr="00D86985">
        <w:t xml:space="preserve"> is invited to</w:t>
      </w:r>
      <w:r w:rsidR="007D5A77">
        <w:t xml:space="preserve"> </w:t>
      </w:r>
      <w:r w:rsidR="007D5A77" w:rsidRPr="00EC36E6">
        <w:rPr>
          <w:b/>
        </w:rPr>
        <w:t>note</w:t>
      </w:r>
      <w:r w:rsidR="007D5A77">
        <w:t xml:space="preserve"> that:</w:t>
      </w:r>
    </w:p>
    <w:p w:rsidR="00327B37" w:rsidRPr="00327B37" w:rsidRDefault="00327B37" w:rsidP="007D5A77">
      <w:pPr>
        <w:pStyle w:val="Paperparalevel2"/>
        <w:numPr>
          <w:ilvl w:val="0"/>
          <w:numId w:val="46"/>
        </w:numPr>
      </w:pPr>
      <w:r>
        <w:rPr>
          <w:color w:val="000000" w:themeColor="text1"/>
        </w:rPr>
        <w:t xml:space="preserve">£729,000 of Flexible Workforce Activity has been </w:t>
      </w:r>
      <w:proofErr w:type="gramStart"/>
      <w:r>
        <w:rPr>
          <w:color w:val="000000" w:themeColor="text1"/>
        </w:rPr>
        <w:t>contracted/agreed</w:t>
      </w:r>
      <w:proofErr w:type="gramEnd"/>
      <w:r>
        <w:rPr>
          <w:color w:val="000000" w:themeColor="text1"/>
        </w:rPr>
        <w:t xml:space="preserve"> in the first four months of 2019-20.</w:t>
      </w:r>
    </w:p>
    <w:p w:rsidR="0061793F" w:rsidRPr="00327B37" w:rsidRDefault="00327B37" w:rsidP="007D5A77">
      <w:pPr>
        <w:pStyle w:val="Paperparalevel2"/>
        <w:numPr>
          <w:ilvl w:val="0"/>
          <w:numId w:val="46"/>
        </w:numPr>
      </w:pPr>
      <w:r>
        <w:rPr>
          <w:color w:val="000000" w:themeColor="text1"/>
        </w:rPr>
        <w:t>This is positive progress and represents 38% of the funds available after 4 months of the financial year.</w:t>
      </w:r>
    </w:p>
    <w:p w:rsidR="00327B37" w:rsidRPr="00EC36E6" w:rsidRDefault="00327B37" w:rsidP="007D5A77">
      <w:pPr>
        <w:pStyle w:val="Paperparalevel2"/>
        <w:numPr>
          <w:ilvl w:val="0"/>
          <w:numId w:val="46"/>
        </w:numPr>
      </w:pPr>
      <w:r>
        <w:t>£796,000 of Flexible Workforce Activity was contracted in 2018-19 and is being delivered in 2019-20.</w:t>
      </w:r>
    </w:p>
    <w:p w:rsidR="00010BF4" w:rsidRDefault="00A33F2A" w:rsidP="00915C47">
      <w:pPr>
        <w:pStyle w:val="Paperparalevel1"/>
        <w:ind w:left="567" w:hanging="567"/>
      </w:pPr>
      <w:r>
        <w:t>Report</w:t>
      </w:r>
    </w:p>
    <w:p w:rsidR="00B05FBF" w:rsidRDefault="00010BF4" w:rsidP="00B05FBF">
      <w:pPr>
        <w:pStyle w:val="Paperparalevel2"/>
        <w:ind w:left="1134" w:hanging="567"/>
      </w:pPr>
      <w:r>
        <w:t xml:space="preserve">The Colleges and GCRB </w:t>
      </w:r>
      <w:r w:rsidR="00B05FBF">
        <w:t>have actively promoted the Flexible Workforce Fund since it was introduced in September 2017. As can be seen from the table below, levels of activity have increased significantly since the fund commenced.</w:t>
      </w:r>
    </w:p>
    <w:tbl>
      <w:tblPr>
        <w:tblStyle w:val="TableGrid"/>
        <w:tblW w:w="0" w:type="auto"/>
        <w:tblInd w:w="1242" w:type="dxa"/>
        <w:tblLook w:val="04A0" w:firstRow="1" w:lastRow="0" w:firstColumn="1" w:lastColumn="0" w:noHBand="0" w:noVBand="1"/>
      </w:tblPr>
      <w:tblGrid>
        <w:gridCol w:w="2799"/>
        <w:gridCol w:w="1243"/>
        <w:gridCol w:w="1243"/>
        <w:gridCol w:w="1243"/>
        <w:gridCol w:w="1243"/>
      </w:tblGrid>
      <w:tr w:rsidR="00B05FBF" w:rsidRPr="00F03A2F" w:rsidTr="008566C9">
        <w:tc>
          <w:tcPr>
            <w:tcW w:w="2799" w:type="dxa"/>
            <w:vAlign w:val="center"/>
          </w:tcPr>
          <w:p w:rsidR="00B05FBF" w:rsidRPr="00F03A2F" w:rsidRDefault="00B05FBF" w:rsidP="00B05FBF">
            <w:pPr>
              <w:rPr>
                <w:b/>
                <w:color w:val="000000" w:themeColor="text1"/>
              </w:rPr>
            </w:pPr>
            <w:r w:rsidRPr="00F03A2F">
              <w:rPr>
                <w:b/>
                <w:color w:val="000000" w:themeColor="text1"/>
              </w:rPr>
              <w:t>Flexible Workforce Fund</w:t>
            </w:r>
            <w:r>
              <w:rPr>
                <w:b/>
                <w:color w:val="000000" w:themeColor="text1"/>
              </w:rPr>
              <w:t xml:space="preserve"> </w:t>
            </w:r>
          </w:p>
        </w:tc>
        <w:tc>
          <w:tcPr>
            <w:tcW w:w="1243" w:type="dxa"/>
            <w:vAlign w:val="center"/>
          </w:tcPr>
          <w:p w:rsidR="00B05FBF" w:rsidRDefault="00B05FBF" w:rsidP="00686B2C">
            <w:pPr>
              <w:pStyle w:val="Default"/>
              <w:jc w:val="center"/>
              <w:rPr>
                <w:b/>
                <w:color w:val="000000" w:themeColor="text1"/>
                <w:sz w:val="22"/>
                <w:szCs w:val="22"/>
              </w:rPr>
            </w:pPr>
            <w:r>
              <w:rPr>
                <w:b/>
                <w:color w:val="000000" w:themeColor="text1"/>
                <w:sz w:val="22"/>
                <w:szCs w:val="22"/>
              </w:rPr>
              <w:t>Funds Available</w:t>
            </w:r>
          </w:p>
          <w:p w:rsidR="000E50DF" w:rsidRPr="00F03A2F" w:rsidRDefault="000E50DF" w:rsidP="00686B2C">
            <w:pPr>
              <w:pStyle w:val="Default"/>
              <w:jc w:val="center"/>
              <w:rPr>
                <w:rFonts w:asciiTheme="minorHAnsi" w:hAnsiTheme="minorHAnsi"/>
                <w:color w:val="000000" w:themeColor="text1"/>
                <w:sz w:val="22"/>
                <w:szCs w:val="22"/>
              </w:rPr>
            </w:pPr>
            <w:r>
              <w:rPr>
                <w:b/>
                <w:color w:val="000000" w:themeColor="text1"/>
                <w:sz w:val="22"/>
                <w:szCs w:val="22"/>
              </w:rPr>
              <w:t>£’m</w:t>
            </w:r>
          </w:p>
        </w:tc>
        <w:tc>
          <w:tcPr>
            <w:tcW w:w="1243" w:type="dxa"/>
            <w:vAlign w:val="center"/>
          </w:tcPr>
          <w:p w:rsidR="00B05FBF" w:rsidRDefault="00B05FBF" w:rsidP="00686B2C">
            <w:pPr>
              <w:pStyle w:val="Default"/>
              <w:jc w:val="center"/>
              <w:rPr>
                <w:rFonts w:asciiTheme="minorHAnsi" w:hAnsiTheme="minorHAnsi"/>
                <w:b/>
                <w:color w:val="000000" w:themeColor="text1"/>
                <w:sz w:val="22"/>
                <w:szCs w:val="22"/>
              </w:rPr>
            </w:pPr>
            <w:r w:rsidRPr="00B05FBF">
              <w:rPr>
                <w:rFonts w:asciiTheme="minorHAnsi" w:hAnsiTheme="minorHAnsi"/>
                <w:b/>
                <w:color w:val="000000" w:themeColor="text1"/>
                <w:sz w:val="22"/>
                <w:szCs w:val="22"/>
              </w:rPr>
              <w:t>Funds Used</w:t>
            </w:r>
          </w:p>
          <w:p w:rsidR="000E50DF" w:rsidRPr="00B05FBF" w:rsidRDefault="000E50DF" w:rsidP="00686B2C">
            <w:pPr>
              <w:pStyle w:val="Default"/>
              <w:jc w:val="center"/>
              <w:rPr>
                <w:rFonts w:asciiTheme="minorHAnsi" w:hAnsiTheme="minorHAnsi"/>
                <w:b/>
                <w:color w:val="000000" w:themeColor="text1"/>
                <w:sz w:val="22"/>
                <w:szCs w:val="22"/>
              </w:rPr>
            </w:pPr>
            <w:r>
              <w:rPr>
                <w:rFonts w:asciiTheme="minorHAnsi" w:hAnsiTheme="minorHAnsi"/>
                <w:b/>
                <w:color w:val="000000" w:themeColor="text1"/>
                <w:sz w:val="22"/>
                <w:szCs w:val="22"/>
              </w:rPr>
              <w:t>£’m</w:t>
            </w:r>
          </w:p>
        </w:tc>
        <w:tc>
          <w:tcPr>
            <w:tcW w:w="1243" w:type="dxa"/>
            <w:vAlign w:val="center"/>
          </w:tcPr>
          <w:p w:rsidR="00B05FBF" w:rsidRDefault="00B05FBF" w:rsidP="00B05FBF">
            <w:pPr>
              <w:pStyle w:val="Default"/>
              <w:jc w:val="center"/>
              <w:rPr>
                <w:b/>
                <w:color w:val="000000" w:themeColor="text1"/>
                <w:sz w:val="22"/>
                <w:szCs w:val="22"/>
              </w:rPr>
            </w:pPr>
            <w:r>
              <w:rPr>
                <w:b/>
                <w:color w:val="000000" w:themeColor="text1"/>
                <w:sz w:val="22"/>
                <w:szCs w:val="22"/>
              </w:rPr>
              <w:t>Under-</w:t>
            </w:r>
            <w:proofErr w:type="spellStart"/>
            <w:r>
              <w:rPr>
                <w:b/>
                <w:color w:val="000000" w:themeColor="text1"/>
                <w:sz w:val="22"/>
                <w:szCs w:val="22"/>
              </w:rPr>
              <w:t>utlisation</w:t>
            </w:r>
            <w:proofErr w:type="spellEnd"/>
          </w:p>
          <w:p w:rsidR="000E50DF" w:rsidRPr="00F03A2F" w:rsidRDefault="000E50DF" w:rsidP="00B05FBF">
            <w:pPr>
              <w:pStyle w:val="Default"/>
              <w:jc w:val="center"/>
              <w:rPr>
                <w:rFonts w:asciiTheme="minorHAnsi" w:hAnsiTheme="minorHAnsi"/>
                <w:color w:val="000000" w:themeColor="text1"/>
                <w:sz w:val="22"/>
                <w:szCs w:val="22"/>
              </w:rPr>
            </w:pPr>
            <w:r>
              <w:rPr>
                <w:b/>
                <w:color w:val="000000" w:themeColor="text1"/>
                <w:sz w:val="22"/>
                <w:szCs w:val="22"/>
              </w:rPr>
              <w:t>£’m</w:t>
            </w:r>
          </w:p>
        </w:tc>
        <w:tc>
          <w:tcPr>
            <w:tcW w:w="1243" w:type="dxa"/>
          </w:tcPr>
          <w:p w:rsidR="00B05FBF" w:rsidRDefault="00B05FBF" w:rsidP="00B05FBF">
            <w:pPr>
              <w:pStyle w:val="Default"/>
              <w:jc w:val="center"/>
              <w:rPr>
                <w:b/>
                <w:color w:val="000000" w:themeColor="text1"/>
                <w:sz w:val="22"/>
                <w:szCs w:val="22"/>
              </w:rPr>
            </w:pPr>
            <w:r>
              <w:rPr>
                <w:b/>
                <w:color w:val="000000" w:themeColor="text1"/>
                <w:sz w:val="22"/>
                <w:szCs w:val="22"/>
              </w:rPr>
              <w:t>% of funds used</w:t>
            </w:r>
          </w:p>
        </w:tc>
      </w:tr>
      <w:tr w:rsidR="00B05FBF" w:rsidRPr="00F03A2F" w:rsidTr="008566C9">
        <w:tc>
          <w:tcPr>
            <w:tcW w:w="2799" w:type="dxa"/>
            <w:vAlign w:val="center"/>
          </w:tcPr>
          <w:p w:rsidR="00B05FBF" w:rsidRPr="00F03A2F" w:rsidRDefault="00B05FBF" w:rsidP="00686B2C">
            <w:pPr>
              <w:rPr>
                <w:b/>
                <w:color w:val="000000" w:themeColor="text1"/>
              </w:rPr>
            </w:pPr>
            <w:r>
              <w:rPr>
                <w:b/>
                <w:color w:val="000000" w:themeColor="text1"/>
              </w:rPr>
              <w:t>2017-18</w:t>
            </w:r>
          </w:p>
        </w:tc>
        <w:tc>
          <w:tcPr>
            <w:tcW w:w="1243" w:type="dxa"/>
            <w:vAlign w:val="center"/>
          </w:tcPr>
          <w:p w:rsidR="00B05FBF" w:rsidRPr="00077DB7" w:rsidRDefault="000E50DF"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£1.92</w:t>
            </w:r>
          </w:p>
        </w:tc>
        <w:tc>
          <w:tcPr>
            <w:tcW w:w="1243" w:type="dxa"/>
            <w:shd w:val="clear" w:color="auto" w:fill="FFFFFF" w:themeFill="background1"/>
            <w:vAlign w:val="center"/>
          </w:tcPr>
          <w:p w:rsidR="00B05FBF" w:rsidRPr="00077DB7" w:rsidRDefault="000E50DF"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£1.07</w:t>
            </w:r>
          </w:p>
        </w:tc>
        <w:tc>
          <w:tcPr>
            <w:tcW w:w="1243" w:type="dxa"/>
            <w:shd w:val="clear" w:color="auto" w:fill="FFFFFF" w:themeFill="background1"/>
            <w:vAlign w:val="center"/>
          </w:tcPr>
          <w:p w:rsidR="00B05FBF" w:rsidRPr="00077DB7" w:rsidRDefault="000E50DF"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£0.85</w:t>
            </w:r>
          </w:p>
        </w:tc>
        <w:tc>
          <w:tcPr>
            <w:tcW w:w="1243" w:type="dxa"/>
            <w:shd w:val="clear" w:color="auto" w:fill="FFFFFF" w:themeFill="background1"/>
          </w:tcPr>
          <w:p w:rsidR="00B05FBF" w:rsidRPr="00077DB7" w:rsidRDefault="00210EA4"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56</w:t>
            </w:r>
            <w:r w:rsidR="00B05FBF">
              <w:rPr>
                <w:rFonts w:asciiTheme="minorHAnsi" w:hAnsiTheme="minorHAnsi"/>
                <w:color w:val="000000" w:themeColor="text1"/>
                <w:sz w:val="22"/>
                <w:szCs w:val="22"/>
              </w:rPr>
              <w:t>%</w:t>
            </w:r>
          </w:p>
        </w:tc>
      </w:tr>
      <w:tr w:rsidR="00B05FBF" w:rsidRPr="00F03A2F" w:rsidTr="008566C9">
        <w:tc>
          <w:tcPr>
            <w:tcW w:w="2799" w:type="dxa"/>
            <w:vAlign w:val="center"/>
          </w:tcPr>
          <w:p w:rsidR="00B05FBF" w:rsidRDefault="00B05FBF" w:rsidP="00686B2C">
            <w:pPr>
              <w:rPr>
                <w:b/>
                <w:color w:val="000000" w:themeColor="text1"/>
              </w:rPr>
            </w:pPr>
            <w:r>
              <w:rPr>
                <w:b/>
                <w:color w:val="000000" w:themeColor="text1"/>
              </w:rPr>
              <w:t>2018-19</w:t>
            </w:r>
          </w:p>
        </w:tc>
        <w:tc>
          <w:tcPr>
            <w:tcW w:w="1243" w:type="dxa"/>
            <w:vAlign w:val="center"/>
          </w:tcPr>
          <w:p w:rsidR="00B05FBF" w:rsidRPr="00077DB7" w:rsidRDefault="000E50DF"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£1.92</w:t>
            </w:r>
          </w:p>
        </w:tc>
        <w:tc>
          <w:tcPr>
            <w:tcW w:w="1243" w:type="dxa"/>
            <w:shd w:val="clear" w:color="auto" w:fill="FFFFFF" w:themeFill="background1"/>
            <w:vAlign w:val="center"/>
          </w:tcPr>
          <w:p w:rsidR="00B05FBF" w:rsidRPr="00077DB7" w:rsidRDefault="000E50DF"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£1.89</w:t>
            </w:r>
          </w:p>
        </w:tc>
        <w:tc>
          <w:tcPr>
            <w:tcW w:w="1243" w:type="dxa"/>
            <w:shd w:val="clear" w:color="auto" w:fill="FFFFFF" w:themeFill="background1"/>
            <w:vAlign w:val="center"/>
          </w:tcPr>
          <w:p w:rsidR="00B05FBF" w:rsidRPr="00077DB7" w:rsidRDefault="000E50DF"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£0.03</w:t>
            </w:r>
          </w:p>
        </w:tc>
        <w:tc>
          <w:tcPr>
            <w:tcW w:w="1243" w:type="dxa"/>
            <w:shd w:val="clear" w:color="auto" w:fill="FFFFFF" w:themeFill="background1"/>
          </w:tcPr>
          <w:p w:rsidR="00B05FBF" w:rsidRPr="00077DB7" w:rsidRDefault="00210EA4" w:rsidP="00686B2C">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98</w:t>
            </w:r>
            <w:r w:rsidR="00B05FBF">
              <w:rPr>
                <w:rFonts w:asciiTheme="minorHAnsi" w:hAnsiTheme="minorHAnsi"/>
                <w:color w:val="000000" w:themeColor="text1"/>
                <w:sz w:val="22"/>
                <w:szCs w:val="22"/>
              </w:rPr>
              <w:t>%</w:t>
            </w:r>
          </w:p>
        </w:tc>
      </w:tr>
    </w:tbl>
    <w:p w:rsidR="00B05FBF" w:rsidRDefault="00B05FBF" w:rsidP="00B05FBF">
      <w:pPr>
        <w:pStyle w:val="Paperparalevel2"/>
        <w:numPr>
          <w:ilvl w:val="0"/>
          <w:numId w:val="0"/>
        </w:numPr>
        <w:ind w:left="567"/>
      </w:pPr>
    </w:p>
    <w:p w:rsidR="0073094C" w:rsidRDefault="00B05FBF" w:rsidP="00915361">
      <w:pPr>
        <w:pStyle w:val="Paperparalevel2"/>
        <w:ind w:left="1134" w:hanging="567"/>
      </w:pPr>
      <w:r>
        <w:t xml:space="preserve">Work is progressing in respect of the Flexible Workforce Fund for 2019-20. </w:t>
      </w:r>
      <w:r w:rsidR="00956CD6">
        <w:t xml:space="preserve">In accordance with the monitoring arrangements set out in the </w:t>
      </w:r>
      <w:r w:rsidR="008722EA">
        <w:t xml:space="preserve">SFC </w:t>
      </w:r>
      <w:r w:rsidR="00956CD6">
        <w:t xml:space="preserve">guidance, GCRB has submitted returns on behalf of </w:t>
      </w:r>
      <w:r w:rsidR="008722EA">
        <w:t>the region</w:t>
      </w:r>
      <w:r>
        <w:t xml:space="preserve"> at the end of September and November 2019</w:t>
      </w:r>
      <w:r w:rsidR="008722EA">
        <w:t xml:space="preserve">.  </w:t>
      </w:r>
    </w:p>
    <w:p w:rsidR="00956CD6" w:rsidRDefault="00485FB3" w:rsidP="00327B37">
      <w:pPr>
        <w:pStyle w:val="Paperparalevel2"/>
        <w:ind w:left="1134" w:hanging="567"/>
      </w:pPr>
      <w:r>
        <w:br w:type="page"/>
      </w:r>
      <w:r w:rsidR="00AD4C3F">
        <w:lastRenderedPageBreak/>
        <w:t xml:space="preserve"> </w:t>
      </w:r>
      <w:r w:rsidR="00A66B88">
        <w:t xml:space="preserve">A summary of the </w:t>
      </w:r>
      <w:r w:rsidR="00F01137">
        <w:t>latest</w:t>
      </w:r>
      <w:r w:rsidR="00A66B88">
        <w:t xml:space="preserve"> return for 201</w:t>
      </w:r>
      <w:r w:rsidR="00F01137">
        <w:t>9</w:t>
      </w:r>
      <w:r w:rsidR="00A66B88">
        <w:t>-</w:t>
      </w:r>
      <w:r w:rsidR="00F01137">
        <w:t>20</w:t>
      </w:r>
      <w:r w:rsidR="008722EA">
        <w:t xml:space="preserve"> is provided below:</w:t>
      </w:r>
    </w:p>
    <w:tbl>
      <w:tblPr>
        <w:tblStyle w:val="TableGrid"/>
        <w:tblW w:w="0" w:type="auto"/>
        <w:tblInd w:w="1242" w:type="dxa"/>
        <w:tblLook w:val="04A0" w:firstRow="1" w:lastRow="0" w:firstColumn="1" w:lastColumn="0" w:noHBand="0" w:noVBand="1"/>
      </w:tblPr>
      <w:tblGrid>
        <w:gridCol w:w="2835"/>
        <w:gridCol w:w="1247"/>
        <w:gridCol w:w="1247"/>
        <w:gridCol w:w="1247"/>
        <w:gridCol w:w="1247"/>
      </w:tblGrid>
      <w:tr w:rsidR="00956CD6" w:rsidRPr="00F03A2F" w:rsidTr="00485FB3">
        <w:tc>
          <w:tcPr>
            <w:tcW w:w="2835" w:type="dxa"/>
            <w:vAlign w:val="center"/>
          </w:tcPr>
          <w:p w:rsidR="00956CD6" w:rsidRPr="00F03A2F" w:rsidRDefault="00956CD6" w:rsidP="00F01137">
            <w:pPr>
              <w:rPr>
                <w:b/>
                <w:color w:val="000000" w:themeColor="text1"/>
              </w:rPr>
            </w:pPr>
            <w:r w:rsidRPr="00F03A2F">
              <w:rPr>
                <w:b/>
                <w:color w:val="000000" w:themeColor="text1"/>
              </w:rPr>
              <w:t>Flexible Workforce Fund</w:t>
            </w:r>
            <w:r w:rsidR="0073094C">
              <w:rPr>
                <w:b/>
                <w:color w:val="000000" w:themeColor="text1"/>
              </w:rPr>
              <w:t xml:space="preserve"> 201</w:t>
            </w:r>
            <w:r w:rsidR="00F01137">
              <w:rPr>
                <w:b/>
                <w:color w:val="000000" w:themeColor="text1"/>
              </w:rPr>
              <w:t>9</w:t>
            </w:r>
            <w:r w:rsidR="0073094C">
              <w:rPr>
                <w:b/>
                <w:color w:val="000000" w:themeColor="text1"/>
              </w:rPr>
              <w:t>-</w:t>
            </w:r>
            <w:r w:rsidR="00F01137">
              <w:rPr>
                <w:b/>
                <w:color w:val="000000" w:themeColor="text1"/>
              </w:rPr>
              <w:t>20</w:t>
            </w:r>
          </w:p>
        </w:tc>
        <w:tc>
          <w:tcPr>
            <w:tcW w:w="1247" w:type="dxa"/>
            <w:vAlign w:val="center"/>
          </w:tcPr>
          <w:p w:rsidR="00956CD6" w:rsidRDefault="00956CD6" w:rsidP="00954D71">
            <w:pPr>
              <w:pStyle w:val="Default"/>
              <w:jc w:val="center"/>
              <w:rPr>
                <w:b/>
                <w:color w:val="000000" w:themeColor="text1"/>
                <w:sz w:val="22"/>
                <w:szCs w:val="22"/>
              </w:rPr>
            </w:pPr>
            <w:r w:rsidRPr="00F03A2F">
              <w:rPr>
                <w:b/>
                <w:color w:val="000000" w:themeColor="text1"/>
                <w:sz w:val="22"/>
                <w:szCs w:val="22"/>
              </w:rPr>
              <w:t>City of Glasgow College</w:t>
            </w:r>
          </w:p>
          <w:p w:rsidR="00210EA4" w:rsidRPr="00F03A2F" w:rsidRDefault="00210EA4" w:rsidP="00954D71">
            <w:pPr>
              <w:pStyle w:val="Default"/>
              <w:jc w:val="center"/>
              <w:rPr>
                <w:rFonts w:asciiTheme="minorHAnsi" w:hAnsiTheme="minorHAnsi"/>
                <w:color w:val="000000" w:themeColor="text1"/>
                <w:sz w:val="22"/>
                <w:szCs w:val="22"/>
              </w:rPr>
            </w:pPr>
            <w:r>
              <w:rPr>
                <w:b/>
                <w:color w:val="000000" w:themeColor="text1"/>
                <w:sz w:val="22"/>
                <w:szCs w:val="22"/>
              </w:rPr>
              <w:t>£’000</w:t>
            </w:r>
          </w:p>
        </w:tc>
        <w:tc>
          <w:tcPr>
            <w:tcW w:w="1247" w:type="dxa"/>
            <w:vAlign w:val="center"/>
          </w:tcPr>
          <w:p w:rsidR="00956CD6" w:rsidRDefault="00956CD6" w:rsidP="00954D71">
            <w:pPr>
              <w:pStyle w:val="Default"/>
              <w:jc w:val="center"/>
              <w:rPr>
                <w:b/>
                <w:color w:val="000000" w:themeColor="text1"/>
                <w:sz w:val="22"/>
                <w:szCs w:val="22"/>
              </w:rPr>
            </w:pPr>
            <w:r w:rsidRPr="00F03A2F">
              <w:rPr>
                <w:b/>
                <w:color w:val="000000" w:themeColor="text1"/>
                <w:sz w:val="22"/>
                <w:szCs w:val="22"/>
              </w:rPr>
              <w:t>Glasgow Clyde College</w:t>
            </w:r>
          </w:p>
          <w:p w:rsidR="00210EA4" w:rsidRPr="00F03A2F" w:rsidRDefault="00210EA4" w:rsidP="00954D71">
            <w:pPr>
              <w:pStyle w:val="Default"/>
              <w:jc w:val="center"/>
              <w:rPr>
                <w:rFonts w:asciiTheme="minorHAnsi" w:hAnsiTheme="minorHAnsi"/>
                <w:color w:val="000000" w:themeColor="text1"/>
                <w:sz w:val="22"/>
                <w:szCs w:val="22"/>
              </w:rPr>
            </w:pPr>
            <w:r>
              <w:rPr>
                <w:b/>
                <w:color w:val="000000" w:themeColor="text1"/>
                <w:sz w:val="22"/>
                <w:szCs w:val="22"/>
              </w:rPr>
              <w:t>£’000</w:t>
            </w:r>
          </w:p>
        </w:tc>
        <w:tc>
          <w:tcPr>
            <w:tcW w:w="1247" w:type="dxa"/>
            <w:vAlign w:val="center"/>
          </w:tcPr>
          <w:p w:rsidR="00956CD6" w:rsidRDefault="00956CD6" w:rsidP="00954D71">
            <w:pPr>
              <w:pStyle w:val="Default"/>
              <w:jc w:val="center"/>
              <w:rPr>
                <w:b/>
                <w:color w:val="000000" w:themeColor="text1"/>
                <w:sz w:val="22"/>
                <w:szCs w:val="22"/>
              </w:rPr>
            </w:pPr>
            <w:r w:rsidRPr="00F03A2F">
              <w:rPr>
                <w:b/>
                <w:color w:val="000000" w:themeColor="text1"/>
                <w:sz w:val="22"/>
                <w:szCs w:val="22"/>
              </w:rPr>
              <w:t>Glasgow Kelvin College</w:t>
            </w:r>
          </w:p>
          <w:p w:rsidR="006C2806" w:rsidRPr="00F03A2F" w:rsidRDefault="006C2806" w:rsidP="00954D71">
            <w:pPr>
              <w:pStyle w:val="Default"/>
              <w:jc w:val="center"/>
              <w:rPr>
                <w:rFonts w:asciiTheme="minorHAnsi" w:hAnsiTheme="minorHAnsi"/>
                <w:color w:val="000000" w:themeColor="text1"/>
                <w:sz w:val="22"/>
                <w:szCs w:val="22"/>
              </w:rPr>
            </w:pPr>
            <w:r>
              <w:rPr>
                <w:b/>
                <w:color w:val="000000" w:themeColor="text1"/>
                <w:sz w:val="22"/>
                <w:szCs w:val="22"/>
              </w:rPr>
              <w:t>£’000</w:t>
            </w:r>
          </w:p>
        </w:tc>
        <w:tc>
          <w:tcPr>
            <w:tcW w:w="1247" w:type="dxa"/>
            <w:vAlign w:val="center"/>
          </w:tcPr>
          <w:p w:rsidR="006C2806" w:rsidRDefault="00956CD6" w:rsidP="00954D71">
            <w:pPr>
              <w:pStyle w:val="Default"/>
              <w:jc w:val="center"/>
              <w:rPr>
                <w:b/>
                <w:color w:val="000000" w:themeColor="text1"/>
                <w:sz w:val="22"/>
                <w:szCs w:val="22"/>
              </w:rPr>
            </w:pPr>
            <w:r w:rsidRPr="00F03A2F">
              <w:rPr>
                <w:b/>
                <w:color w:val="000000" w:themeColor="text1"/>
                <w:sz w:val="22"/>
                <w:szCs w:val="22"/>
              </w:rPr>
              <w:t>Total</w:t>
            </w:r>
          </w:p>
          <w:p w:rsidR="00956CD6" w:rsidRPr="00F03A2F" w:rsidRDefault="006C2806" w:rsidP="00954D71">
            <w:pPr>
              <w:pStyle w:val="Default"/>
              <w:jc w:val="center"/>
              <w:rPr>
                <w:b/>
                <w:color w:val="000000" w:themeColor="text1"/>
                <w:sz w:val="22"/>
                <w:szCs w:val="22"/>
              </w:rPr>
            </w:pPr>
            <w:r>
              <w:rPr>
                <w:b/>
                <w:color w:val="000000" w:themeColor="text1"/>
                <w:sz w:val="22"/>
                <w:szCs w:val="22"/>
              </w:rPr>
              <w:t>£’000</w:t>
            </w:r>
          </w:p>
        </w:tc>
      </w:tr>
      <w:tr w:rsidR="00956CD6" w:rsidRPr="00F03A2F" w:rsidTr="00485FB3">
        <w:tc>
          <w:tcPr>
            <w:tcW w:w="2835" w:type="dxa"/>
            <w:vAlign w:val="center"/>
          </w:tcPr>
          <w:p w:rsidR="00956CD6" w:rsidRPr="00F03A2F" w:rsidRDefault="00956CD6" w:rsidP="00954D71">
            <w:pPr>
              <w:rPr>
                <w:b/>
                <w:color w:val="000000" w:themeColor="text1"/>
              </w:rPr>
            </w:pPr>
            <w:r>
              <w:rPr>
                <w:b/>
                <w:color w:val="000000" w:themeColor="text1"/>
              </w:rPr>
              <w:t>Initial Allocation</w:t>
            </w:r>
          </w:p>
        </w:tc>
        <w:tc>
          <w:tcPr>
            <w:tcW w:w="1247" w:type="dxa"/>
            <w:vAlign w:val="center"/>
          </w:tcPr>
          <w:p w:rsidR="00956CD6" w:rsidRPr="00077DB7" w:rsidRDefault="00956CD6" w:rsidP="00210EA4">
            <w:pPr>
              <w:pStyle w:val="Default"/>
              <w:jc w:val="right"/>
              <w:rPr>
                <w:rFonts w:asciiTheme="minorHAnsi" w:hAnsiTheme="minorHAnsi"/>
                <w:color w:val="000000" w:themeColor="text1"/>
                <w:sz w:val="22"/>
                <w:szCs w:val="22"/>
              </w:rPr>
            </w:pPr>
            <w:r w:rsidRPr="00077DB7">
              <w:rPr>
                <w:rFonts w:asciiTheme="minorHAnsi" w:hAnsiTheme="minorHAnsi"/>
                <w:color w:val="000000" w:themeColor="text1"/>
                <w:sz w:val="22"/>
                <w:szCs w:val="22"/>
              </w:rPr>
              <w:t>£894</w:t>
            </w:r>
          </w:p>
        </w:tc>
        <w:tc>
          <w:tcPr>
            <w:tcW w:w="1247" w:type="dxa"/>
            <w:shd w:val="clear" w:color="auto" w:fill="FFFFFF" w:themeFill="background1"/>
            <w:vAlign w:val="center"/>
          </w:tcPr>
          <w:p w:rsidR="00956CD6" w:rsidRPr="00077DB7" w:rsidRDefault="00956CD6" w:rsidP="00954D71">
            <w:pPr>
              <w:pStyle w:val="Default"/>
              <w:jc w:val="right"/>
              <w:rPr>
                <w:rFonts w:asciiTheme="minorHAnsi" w:hAnsiTheme="minorHAnsi"/>
                <w:color w:val="000000" w:themeColor="text1"/>
                <w:sz w:val="22"/>
                <w:szCs w:val="22"/>
              </w:rPr>
            </w:pPr>
            <w:r w:rsidRPr="00077DB7">
              <w:rPr>
                <w:rFonts w:asciiTheme="minorHAnsi" w:hAnsiTheme="minorHAnsi"/>
                <w:color w:val="000000" w:themeColor="text1"/>
                <w:sz w:val="22"/>
                <w:szCs w:val="22"/>
              </w:rPr>
              <w:t>£</w:t>
            </w:r>
            <w:r w:rsidR="00210EA4">
              <w:rPr>
                <w:rFonts w:asciiTheme="minorHAnsi" w:hAnsiTheme="minorHAnsi"/>
                <w:color w:val="000000" w:themeColor="text1"/>
                <w:sz w:val="22"/>
                <w:szCs w:val="22"/>
              </w:rPr>
              <w:t>632</w:t>
            </w:r>
          </w:p>
        </w:tc>
        <w:tc>
          <w:tcPr>
            <w:tcW w:w="1247" w:type="dxa"/>
            <w:shd w:val="clear" w:color="auto" w:fill="FFFFFF" w:themeFill="background1"/>
            <w:vAlign w:val="center"/>
          </w:tcPr>
          <w:p w:rsidR="00956CD6" w:rsidRPr="00077DB7" w:rsidRDefault="00210EA4" w:rsidP="00954D71">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£393</w:t>
            </w:r>
          </w:p>
        </w:tc>
        <w:tc>
          <w:tcPr>
            <w:tcW w:w="1247" w:type="dxa"/>
            <w:vAlign w:val="center"/>
          </w:tcPr>
          <w:p w:rsidR="00956CD6" w:rsidRPr="00077DB7" w:rsidRDefault="00956CD6" w:rsidP="00954D71">
            <w:pPr>
              <w:pStyle w:val="Default"/>
              <w:jc w:val="right"/>
              <w:rPr>
                <w:rFonts w:asciiTheme="minorHAnsi" w:hAnsiTheme="minorHAnsi"/>
                <w:b/>
                <w:noProof/>
                <w:color w:val="000000" w:themeColor="text1"/>
                <w:sz w:val="22"/>
                <w:szCs w:val="22"/>
              </w:rPr>
            </w:pPr>
            <w:r w:rsidRPr="00077DB7">
              <w:rPr>
                <w:rFonts w:asciiTheme="minorHAnsi" w:hAnsiTheme="minorHAnsi"/>
                <w:b/>
                <w:noProof/>
                <w:color w:val="000000" w:themeColor="text1"/>
                <w:sz w:val="22"/>
                <w:szCs w:val="22"/>
              </w:rPr>
              <w:fldChar w:fldCharType="begin"/>
            </w:r>
            <w:r w:rsidRPr="00077DB7">
              <w:rPr>
                <w:rFonts w:asciiTheme="minorHAnsi" w:hAnsiTheme="minorHAnsi"/>
                <w:b/>
                <w:noProof/>
                <w:color w:val="000000" w:themeColor="text1"/>
                <w:sz w:val="22"/>
                <w:szCs w:val="22"/>
              </w:rPr>
              <w:instrText xml:space="preserve"> =SUM(LEFT) \# "£#,##0;(£#,##0)" </w:instrText>
            </w:r>
            <w:r w:rsidRPr="00077DB7">
              <w:rPr>
                <w:rFonts w:asciiTheme="minorHAnsi" w:hAnsiTheme="minorHAnsi"/>
                <w:b/>
                <w:noProof/>
                <w:color w:val="000000" w:themeColor="text1"/>
                <w:sz w:val="22"/>
                <w:szCs w:val="22"/>
              </w:rPr>
              <w:fldChar w:fldCharType="separate"/>
            </w:r>
            <w:r w:rsidR="00210EA4" w:rsidRPr="00077DB7">
              <w:rPr>
                <w:rFonts w:asciiTheme="minorHAnsi" w:hAnsiTheme="minorHAnsi"/>
                <w:b/>
                <w:noProof/>
                <w:color w:val="000000" w:themeColor="text1"/>
                <w:sz w:val="22"/>
                <w:szCs w:val="22"/>
              </w:rPr>
              <w:t>£</w:t>
            </w:r>
            <w:r w:rsidR="00210EA4">
              <w:rPr>
                <w:rFonts w:asciiTheme="minorHAnsi" w:hAnsiTheme="minorHAnsi"/>
                <w:b/>
                <w:noProof/>
                <w:color w:val="000000" w:themeColor="text1"/>
                <w:sz w:val="22"/>
                <w:szCs w:val="22"/>
              </w:rPr>
              <w:t>1,919</w:t>
            </w:r>
            <w:r w:rsidRPr="00077DB7">
              <w:rPr>
                <w:rFonts w:asciiTheme="minorHAnsi" w:hAnsiTheme="minorHAnsi"/>
                <w:b/>
                <w:noProof/>
                <w:color w:val="000000" w:themeColor="text1"/>
                <w:sz w:val="22"/>
                <w:szCs w:val="22"/>
              </w:rPr>
              <w:fldChar w:fldCharType="end"/>
            </w:r>
          </w:p>
        </w:tc>
      </w:tr>
      <w:tr w:rsidR="00956CD6" w:rsidRPr="00F03A2F" w:rsidTr="00485FB3">
        <w:tc>
          <w:tcPr>
            <w:tcW w:w="2835" w:type="dxa"/>
            <w:vAlign w:val="center"/>
          </w:tcPr>
          <w:p w:rsidR="00956CD6" w:rsidRDefault="00956CD6" w:rsidP="00F01137">
            <w:pPr>
              <w:rPr>
                <w:b/>
                <w:color w:val="000000" w:themeColor="text1"/>
              </w:rPr>
            </w:pPr>
            <w:r>
              <w:rPr>
                <w:b/>
                <w:color w:val="000000" w:themeColor="text1"/>
              </w:rPr>
              <w:t>Contracted</w:t>
            </w:r>
            <w:r w:rsidR="00F01137">
              <w:rPr>
                <w:b/>
                <w:color w:val="000000" w:themeColor="text1"/>
              </w:rPr>
              <w:t>/Agreed</w:t>
            </w:r>
            <w:r>
              <w:rPr>
                <w:b/>
                <w:color w:val="000000" w:themeColor="text1"/>
              </w:rPr>
              <w:t xml:space="preserve"> Training at </w:t>
            </w:r>
            <w:r w:rsidR="00A66B88">
              <w:rPr>
                <w:b/>
                <w:color w:val="000000" w:themeColor="text1"/>
              </w:rPr>
              <w:t>3</w:t>
            </w:r>
            <w:r w:rsidR="00F01137">
              <w:rPr>
                <w:b/>
                <w:color w:val="000000" w:themeColor="text1"/>
              </w:rPr>
              <w:t>0</w:t>
            </w:r>
            <w:r>
              <w:rPr>
                <w:b/>
                <w:color w:val="000000" w:themeColor="text1"/>
              </w:rPr>
              <w:t xml:space="preserve"> </w:t>
            </w:r>
            <w:r w:rsidR="000E50DF">
              <w:rPr>
                <w:b/>
                <w:color w:val="000000" w:themeColor="text1"/>
              </w:rPr>
              <w:t>Nov</w:t>
            </w:r>
            <w:r>
              <w:rPr>
                <w:b/>
                <w:color w:val="000000" w:themeColor="text1"/>
              </w:rPr>
              <w:t xml:space="preserve"> 201</w:t>
            </w:r>
            <w:r w:rsidR="0073094C">
              <w:rPr>
                <w:b/>
                <w:color w:val="000000" w:themeColor="text1"/>
              </w:rPr>
              <w:t>9</w:t>
            </w:r>
          </w:p>
        </w:tc>
        <w:tc>
          <w:tcPr>
            <w:tcW w:w="1247" w:type="dxa"/>
            <w:vAlign w:val="center"/>
          </w:tcPr>
          <w:p w:rsidR="00A33F2A" w:rsidRPr="00077DB7" w:rsidRDefault="00956CD6" w:rsidP="00F01137">
            <w:pPr>
              <w:pStyle w:val="Default"/>
              <w:jc w:val="right"/>
              <w:rPr>
                <w:rFonts w:asciiTheme="minorHAnsi" w:hAnsiTheme="minorHAnsi"/>
                <w:color w:val="000000" w:themeColor="text1"/>
                <w:sz w:val="22"/>
                <w:szCs w:val="22"/>
              </w:rPr>
            </w:pPr>
            <w:r w:rsidRPr="00077DB7">
              <w:rPr>
                <w:rFonts w:asciiTheme="minorHAnsi" w:hAnsiTheme="minorHAnsi"/>
                <w:color w:val="000000" w:themeColor="text1"/>
                <w:sz w:val="22"/>
                <w:szCs w:val="22"/>
              </w:rPr>
              <w:t>£</w:t>
            </w:r>
            <w:r w:rsidR="00F01137">
              <w:rPr>
                <w:rFonts w:asciiTheme="minorHAnsi" w:hAnsiTheme="minorHAnsi"/>
                <w:color w:val="000000" w:themeColor="text1"/>
                <w:sz w:val="22"/>
                <w:szCs w:val="22"/>
              </w:rPr>
              <w:t>243</w:t>
            </w:r>
          </w:p>
        </w:tc>
        <w:tc>
          <w:tcPr>
            <w:tcW w:w="1247" w:type="dxa"/>
            <w:shd w:val="clear" w:color="auto" w:fill="FFFFFF" w:themeFill="background1"/>
            <w:vAlign w:val="center"/>
          </w:tcPr>
          <w:p w:rsidR="00956CD6" w:rsidRPr="00077DB7" w:rsidRDefault="00956CD6" w:rsidP="008928DF">
            <w:pPr>
              <w:pStyle w:val="Default"/>
              <w:jc w:val="right"/>
              <w:rPr>
                <w:rFonts w:asciiTheme="minorHAnsi" w:hAnsiTheme="minorHAnsi"/>
                <w:color w:val="000000" w:themeColor="text1"/>
                <w:sz w:val="22"/>
                <w:szCs w:val="22"/>
              </w:rPr>
            </w:pPr>
            <w:r w:rsidRPr="00077DB7">
              <w:rPr>
                <w:rFonts w:asciiTheme="minorHAnsi" w:hAnsiTheme="minorHAnsi"/>
                <w:color w:val="000000" w:themeColor="text1"/>
                <w:sz w:val="22"/>
                <w:szCs w:val="22"/>
              </w:rPr>
              <w:t>£</w:t>
            </w:r>
            <w:r w:rsidR="00210EA4">
              <w:rPr>
                <w:rFonts w:asciiTheme="minorHAnsi" w:hAnsiTheme="minorHAnsi"/>
                <w:color w:val="000000" w:themeColor="text1"/>
                <w:sz w:val="22"/>
                <w:szCs w:val="22"/>
              </w:rPr>
              <w:t>231</w:t>
            </w:r>
          </w:p>
        </w:tc>
        <w:tc>
          <w:tcPr>
            <w:tcW w:w="1247" w:type="dxa"/>
            <w:shd w:val="clear" w:color="auto" w:fill="FFFFFF" w:themeFill="background1"/>
            <w:vAlign w:val="center"/>
          </w:tcPr>
          <w:p w:rsidR="00956CD6" w:rsidRPr="00077DB7" w:rsidRDefault="00956CD6" w:rsidP="00F01137">
            <w:pPr>
              <w:pStyle w:val="Default"/>
              <w:jc w:val="right"/>
              <w:rPr>
                <w:rFonts w:asciiTheme="minorHAnsi" w:hAnsiTheme="minorHAnsi"/>
                <w:color w:val="000000" w:themeColor="text1"/>
                <w:sz w:val="22"/>
                <w:szCs w:val="22"/>
              </w:rPr>
            </w:pPr>
            <w:r w:rsidRPr="00077DB7">
              <w:rPr>
                <w:rFonts w:asciiTheme="minorHAnsi" w:hAnsiTheme="minorHAnsi"/>
                <w:color w:val="000000" w:themeColor="text1"/>
                <w:sz w:val="22"/>
                <w:szCs w:val="22"/>
              </w:rPr>
              <w:t>£</w:t>
            </w:r>
            <w:r w:rsidR="00210EA4">
              <w:rPr>
                <w:rFonts w:asciiTheme="minorHAnsi" w:hAnsiTheme="minorHAnsi"/>
                <w:color w:val="000000" w:themeColor="text1"/>
                <w:sz w:val="22"/>
                <w:szCs w:val="22"/>
              </w:rPr>
              <w:t>255</w:t>
            </w:r>
          </w:p>
        </w:tc>
        <w:tc>
          <w:tcPr>
            <w:tcW w:w="1247" w:type="dxa"/>
            <w:vAlign w:val="center"/>
          </w:tcPr>
          <w:p w:rsidR="00956CD6" w:rsidRPr="00077DB7" w:rsidRDefault="00A66B88" w:rsidP="00820648">
            <w:pPr>
              <w:pStyle w:val="Default"/>
              <w:jc w:val="right"/>
              <w:rPr>
                <w:rFonts w:asciiTheme="minorHAnsi" w:hAnsiTheme="minorHAnsi"/>
                <w:b/>
                <w:noProof/>
                <w:color w:val="000000" w:themeColor="text1"/>
                <w:sz w:val="22"/>
                <w:szCs w:val="22"/>
              </w:rPr>
            </w:pPr>
            <w:r>
              <w:rPr>
                <w:rFonts w:asciiTheme="minorHAnsi" w:hAnsiTheme="minorHAnsi"/>
                <w:b/>
                <w:noProof/>
                <w:color w:val="000000" w:themeColor="text1"/>
                <w:sz w:val="22"/>
                <w:szCs w:val="22"/>
              </w:rPr>
              <w:fldChar w:fldCharType="begin"/>
            </w:r>
            <w:r>
              <w:rPr>
                <w:rFonts w:asciiTheme="minorHAnsi" w:hAnsiTheme="minorHAnsi"/>
                <w:b/>
                <w:noProof/>
                <w:color w:val="000000" w:themeColor="text1"/>
                <w:sz w:val="22"/>
                <w:szCs w:val="22"/>
              </w:rPr>
              <w:instrText xml:space="preserve"> =SUM(LEFT) \# "£#,##0;(£#,##0)" </w:instrText>
            </w:r>
            <w:r>
              <w:rPr>
                <w:rFonts w:asciiTheme="minorHAnsi" w:hAnsiTheme="minorHAnsi"/>
                <w:b/>
                <w:noProof/>
                <w:color w:val="000000" w:themeColor="text1"/>
                <w:sz w:val="22"/>
                <w:szCs w:val="22"/>
              </w:rPr>
              <w:fldChar w:fldCharType="separate"/>
            </w:r>
            <w:r w:rsidR="00210EA4">
              <w:rPr>
                <w:rFonts w:asciiTheme="minorHAnsi" w:hAnsiTheme="minorHAnsi"/>
                <w:b/>
                <w:noProof/>
                <w:color w:val="000000" w:themeColor="text1"/>
                <w:sz w:val="22"/>
                <w:szCs w:val="22"/>
              </w:rPr>
              <w:t>£ 729</w:t>
            </w:r>
            <w:r>
              <w:rPr>
                <w:rFonts w:asciiTheme="minorHAnsi" w:hAnsiTheme="minorHAnsi"/>
                <w:b/>
                <w:noProof/>
                <w:color w:val="000000" w:themeColor="text1"/>
                <w:sz w:val="22"/>
                <w:szCs w:val="22"/>
              </w:rPr>
              <w:fldChar w:fldCharType="end"/>
            </w:r>
          </w:p>
        </w:tc>
      </w:tr>
      <w:tr w:rsidR="00956CD6" w:rsidRPr="00F03A2F" w:rsidTr="00485FB3">
        <w:tc>
          <w:tcPr>
            <w:tcW w:w="2835" w:type="dxa"/>
            <w:vAlign w:val="center"/>
          </w:tcPr>
          <w:p w:rsidR="00956CD6" w:rsidRDefault="008928DF" w:rsidP="008928DF">
            <w:pPr>
              <w:rPr>
                <w:b/>
                <w:color w:val="000000" w:themeColor="text1"/>
              </w:rPr>
            </w:pPr>
            <w:r>
              <w:rPr>
                <w:b/>
                <w:color w:val="000000" w:themeColor="text1"/>
              </w:rPr>
              <w:t>Balance</w:t>
            </w:r>
            <w:r w:rsidR="00210EA4">
              <w:rPr>
                <w:b/>
                <w:color w:val="000000" w:themeColor="text1"/>
              </w:rPr>
              <w:t xml:space="preserve"> Remaining</w:t>
            </w:r>
          </w:p>
        </w:tc>
        <w:tc>
          <w:tcPr>
            <w:tcW w:w="1247" w:type="dxa"/>
            <w:vAlign w:val="center"/>
          </w:tcPr>
          <w:p w:rsidR="00956CD6" w:rsidRPr="00077DB7" w:rsidRDefault="00F01137" w:rsidP="00F01137">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w:t>
            </w:r>
            <w:r w:rsidR="00210EA4">
              <w:rPr>
                <w:rFonts w:asciiTheme="minorHAnsi" w:hAnsiTheme="minorHAnsi"/>
                <w:color w:val="000000" w:themeColor="text1"/>
                <w:sz w:val="22"/>
                <w:szCs w:val="22"/>
              </w:rPr>
              <w:t>651</w:t>
            </w:r>
          </w:p>
        </w:tc>
        <w:tc>
          <w:tcPr>
            <w:tcW w:w="1247" w:type="dxa"/>
            <w:shd w:val="clear" w:color="auto" w:fill="FFFFFF" w:themeFill="background1"/>
            <w:vAlign w:val="center"/>
          </w:tcPr>
          <w:p w:rsidR="00956CD6" w:rsidRPr="00077DB7" w:rsidRDefault="008928DF" w:rsidP="00F01137">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w:t>
            </w:r>
            <w:r w:rsidR="00210EA4">
              <w:rPr>
                <w:rFonts w:asciiTheme="minorHAnsi" w:hAnsiTheme="minorHAnsi"/>
                <w:color w:val="000000" w:themeColor="text1"/>
                <w:sz w:val="22"/>
                <w:szCs w:val="22"/>
              </w:rPr>
              <w:t>401</w:t>
            </w:r>
          </w:p>
        </w:tc>
        <w:tc>
          <w:tcPr>
            <w:tcW w:w="1247" w:type="dxa"/>
            <w:shd w:val="clear" w:color="auto" w:fill="FFFFFF" w:themeFill="background1"/>
            <w:vAlign w:val="center"/>
          </w:tcPr>
          <w:p w:rsidR="00956CD6" w:rsidRPr="00077DB7" w:rsidRDefault="00F01137" w:rsidP="004D723E">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£1</w:t>
            </w:r>
            <w:r w:rsidR="00210EA4">
              <w:rPr>
                <w:rFonts w:asciiTheme="minorHAnsi" w:hAnsiTheme="minorHAnsi"/>
                <w:color w:val="000000" w:themeColor="text1"/>
                <w:sz w:val="22"/>
                <w:szCs w:val="22"/>
              </w:rPr>
              <w:t>38</w:t>
            </w:r>
          </w:p>
        </w:tc>
        <w:tc>
          <w:tcPr>
            <w:tcW w:w="1247" w:type="dxa"/>
            <w:vAlign w:val="center"/>
          </w:tcPr>
          <w:p w:rsidR="00956CD6" w:rsidRPr="00077DB7" w:rsidRDefault="00A66B88" w:rsidP="00DE399A">
            <w:pPr>
              <w:pStyle w:val="Default"/>
              <w:jc w:val="right"/>
              <w:rPr>
                <w:rFonts w:asciiTheme="minorHAnsi" w:hAnsiTheme="minorHAnsi"/>
                <w:b/>
                <w:noProof/>
                <w:color w:val="000000" w:themeColor="text1"/>
                <w:sz w:val="22"/>
                <w:szCs w:val="22"/>
              </w:rPr>
            </w:pPr>
            <w:r>
              <w:rPr>
                <w:rFonts w:asciiTheme="minorHAnsi" w:hAnsiTheme="minorHAnsi"/>
                <w:b/>
                <w:noProof/>
                <w:color w:val="000000" w:themeColor="text1"/>
                <w:sz w:val="22"/>
                <w:szCs w:val="22"/>
              </w:rPr>
              <w:fldChar w:fldCharType="begin"/>
            </w:r>
            <w:r>
              <w:rPr>
                <w:rFonts w:asciiTheme="minorHAnsi" w:hAnsiTheme="minorHAnsi"/>
                <w:b/>
                <w:noProof/>
                <w:color w:val="000000" w:themeColor="text1"/>
                <w:sz w:val="22"/>
                <w:szCs w:val="22"/>
              </w:rPr>
              <w:instrText xml:space="preserve"> =SUM(LEFT) \# "£#,##0;(£#,##0)" </w:instrText>
            </w:r>
            <w:r>
              <w:rPr>
                <w:rFonts w:asciiTheme="minorHAnsi" w:hAnsiTheme="minorHAnsi"/>
                <w:b/>
                <w:noProof/>
                <w:color w:val="000000" w:themeColor="text1"/>
                <w:sz w:val="22"/>
                <w:szCs w:val="22"/>
              </w:rPr>
              <w:fldChar w:fldCharType="separate"/>
            </w:r>
            <w:r w:rsidR="00210EA4">
              <w:rPr>
                <w:rFonts w:asciiTheme="minorHAnsi" w:hAnsiTheme="minorHAnsi"/>
                <w:b/>
                <w:noProof/>
                <w:color w:val="000000" w:themeColor="text1"/>
                <w:sz w:val="22"/>
                <w:szCs w:val="22"/>
              </w:rPr>
              <w:t>£1,190</w:t>
            </w:r>
            <w:r>
              <w:rPr>
                <w:rFonts w:asciiTheme="minorHAnsi" w:hAnsiTheme="minorHAnsi"/>
                <w:b/>
                <w:noProof/>
                <w:color w:val="000000" w:themeColor="text1"/>
                <w:sz w:val="22"/>
                <w:szCs w:val="22"/>
              </w:rPr>
              <w:fldChar w:fldCharType="end"/>
            </w:r>
          </w:p>
        </w:tc>
      </w:tr>
      <w:tr w:rsidR="00956CD6" w:rsidRPr="00F03A2F" w:rsidTr="00485FB3">
        <w:tc>
          <w:tcPr>
            <w:tcW w:w="2835" w:type="dxa"/>
            <w:vAlign w:val="center"/>
          </w:tcPr>
          <w:p w:rsidR="00956CD6" w:rsidRDefault="00905901" w:rsidP="00954D71">
            <w:pPr>
              <w:rPr>
                <w:b/>
                <w:color w:val="000000" w:themeColor="text1"/>
              </w:rPr>
            </w:pPr>
            <w:r>
              <w:rPr>
                <w:b/>
                <w:color w:val="000000" w:themeColor="text1"/>
              </w:rPr>
              <w:t>Percentage</w:t>
            </w:r>
            <w:r w:rsidR="00210EA4">
              <w:rPr>
                <w:b/>
                <w:color w:val="000000" w:themeColor="text1"/>
              </w:rPr>
              <w:t xml:space="preserve"> of funds to allocate</w:t>
            </w:r>
          </w:p>
        </w:tc>
        <w:tc>
          <w:tcPr>
            <w:tcW w:w="1247" w:type="dxa"/>
            <w:vAlign w:val="center"/>
          </w:tcPr>
          <w:p w:rsidR="00956CD6" w:rsidRPr="00077DB7" w:rsidRDefault="00F01137" w:rsidP="00CA5C4E">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7</w:t>
            </w:r>
            <w:r w:rsidR="008B16AB">
              <w:rPr>
                <w:rFonts w:asciiTheme="minorHAnsi" w:hAnsiTheme="minorHAnsi"/>
                <w:color w:val="000000" w:themeColor="text1"/>
                <w:sz w:val="22"/>
                <w:szCs w:val="22"/>
              </w:rPr>
              <w:t>3</w:t>
            </w:r>
            <w:r w:rsidR="00956CD6" w:rsidRPr="00077DB7">
              <w:rPr>
                <w:rFonts w:asciiTheme="minorHAnsi" w:hAnsiTheme="minorHAnsi"/>
                <w:color w:val="000000" w:themeColor="text1"/>
                <w:sz w:val="22"/>
                <w:szCs w:val="22"/>
              </w:rPr>
              <w:t>%</w:t>
            </w:r>
          </w:p>
        </w:tc>
        <w:tc>
          <w:tcPr>
            <w:tcW w:w="1247" w:type="dxa"/>
            <w:shd w:val="clear" w:color="auto" w:fill="FFFFFF" w:themeFill="background1"/>
            <w:vAlign w:val="center"/>
          </w:tcPr>
          <w:p w:rsidR="00956CD6" w:rsidRPr="00077DB7" w:rsidRDefault="008B16AB" w:rsidP="006C2806">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6</w:t>
            </w:r>
            <w:r w:rsidR="006C2806">
              <w:rPr>
                <w:rFonts w:asciiTheme="minorHAnsi" w:hAnsiTheme="minorHAnsi"/>
                <w:color w:val="000000" w:themeColor="text1"/>
                <w:sz w:val="22"/>
                <w:szCs w:val="22"/>
              </w:rPr>
              <w:t>3</w:t>
            </w:r>
            <w:r w:rsidR="00956CD6" w:rsidRPr="00077DB7">
              <w:rPr>
                <w:rFonts w:asciiTheme="minorHAnsi" w:hAnsiTheme="minorHAnsi"/>
                <w:color w:val="000000" w:themeColor="text1"/>
                <w:sz w:val="22"/>
                <w:szCs w:val="22"/>
              </w:rPr>
              <w:t>%</w:t>
            </w:r>
          </w:p>
        </w:tc>
        <w:tc>
          <w:tcPr>
            <w:tcW w:w="1247" w:type="dxa"/>
            <w:shd w:val="clear" w:color="auto" w:fill="FFFFFF" w:themeFill="background1"/>
            <w:vAlign w:val="center"/>
          </w:tcPr>
          <w:p w:rsidR="00956CD6" w:rsidRPr="00077DB7" w:rsidRDefault="008B16AB" w:rsidP="00954D71">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35</w:t>
            </w:r>
            <w:r w:rsidR="00956CD6" w:rsidRPr="00077DB7">
              <w:rPr>
                <w:rFonts w:asciiTheme="minorHAnsi" w:hAnsiTheme="minorHAnsi"/>
                <w:color w:val="000000" w:themeColor="text1"/>
                <w:sz w:val="22"/>
                <w:szCs w:val="22"/>
              </w:rPr>
              <w:t>%</w:t>
            </w:r>
          </w:p>
        </w:tc>
        <w:tc>
          <w:tcPr>
            <w:tcW w:w="1247" w:type="dxa"/>
            <w:vAlign w:val="center"/>
          </w:tcPr>
          <w:p w:rsidR="00956CD6" w:rsidRPr="00077DB7" w:rsidRDefault="008B16AB" w:rsidP="000E6386">
            <w:pPr>
              <w:pStyle w:val="Default"/>
              <w:jc w:val="right"/>
              <w:rPr>
                <w:rFonts w:asciiTheme="minorHAnsi" w:hAnsiTheme="minorHAnsi"/>
                <w:b/>
                <w:noProof/>
                <w:color w:val="000000" w:themeColor="text1"/>
                <w:sz w:val="22"/>
                <w:szCs w:val="22"/>
              </w:rPr>
            </w:pPr>
            <w:r>
              <w:rPr>
                <w:rFonts w:asciiTheme="minorHAnsi" w:hAnsiTheme="minorHAnsi"/>
                <w:b/>
                <w:noProof/>
                <w:color w:val="000000" w:themeColor="text1"/>
                <w:sz w:val="22"/>
                <w:szCs w:val="22"/>
              </w:rPr>
              <w:t>62</w:t>
            </w:r>
            <w:r w:rsidR="00956CD6" w:rsidRPr="00077DB7">
              <w:rPr>
                <w:rFonts w:asciiTheme="minorHAnsi" w:hAnsiTheme="minorHAnsi"/>
                <w:b/>
                <w:noProof/>
                <w:color w:val="000000" w:themeColor="text1"/>
                <w:sz w:val="22"/>
                <w:szCs w:val="22"/>
              </w:rPr>
              <w:t>%</w:t>
            </w:r>
          </w:p>
        </w:tc>
      </w:tr>
    </w:tbl>
    <w:p w:rsidR="00D842D2" w:rsidRDefault="008B16AB" w:rsidP="00FE2E8E">
      <w:pPr>
        <w:pStyle w:val="Paperparalevel2"/>
        <w:spacing w:before="240"/>
        <w:ind w:left="1134" w:hanging="567"/>
      </w:pPr>
      <w:r>
        <w:t>The amount of training undertaken so far (against 2019-20 activity) is relatively modest. This is due to the fact that there is a significant volume of training being delivered in the current academic year that was contracted for in 2018-19</w:t>
      </w:r>
      <w:r>
        <w:rPr>
          <w:rStyle w:val="FootnoteReference"/>
        </w:rPr>
        <w:footnoteReference w:id="1"/>
      </w:r>
      <w:r>
        <w:t>.</w:t>
      </w:r>
    </w:p>
    <w:tbl>
      <w:tblPr>
        <w:tblStyle w:val="TableGrid"/>
        <w:tblW w:w="7798" w:type="dxa"/>
        <w:tblInd w:w="1242" w:type="dxa"/>
        <w:tblLook w:val="04A0" w:firstRow="1" w:lastRow="0" w:firstColumn="1" w:lastColumn="0" w:noHBand="0" w:noVBand="1"/>
      </w:tblPr>
      <w:tblGrid>
        <w:gridCol w:w="2810"/>
        <w:gridCol w:w="1247"/>
        <w:gridCol w:w="1247"/>
        <w:gridCol w:w="1247"/>
        <w:gridCol w:w="1247"/>
      </w:tblGrid>
      <w:tr w:rsidR="00D842D2" w:rsidRPr="00F03A2F" w:rsidTr="00485FB3">
        <w:tc>
          <w:tcPr>
            <w:tcW w:w="2810" w:type="dxa"/>
            <w:vAlign w:val="center"/>
          </w:tcPr>
          <w:p w:rsidR="00D842D2" w:rsidRPr="00F03A2F" w:rsidRDefault="00D842D2" w:rsidP="008B16AB">
            <w:pPr>
              <w:rPr>
                <w:b/>
                <w:color w:val="000000" w:themeColor="text1"/>
              </w:rPr>
            </w:pPr>
            <w:r w:rsidRPr="00F03A2F">
              <w:rPr>
                <w:b/>
                <w:color w:val="000000" w:themeColor="text1"/>
              </w:rPr>
              <w:t>Flexible Wor</w:t>
            </w:r>
            <w:r w:rsidR="00991278">
              <w:rPr>
                <w:b/>
                <w:color w:val="000000" w:themeColor="text1"/>
              </w:rPr>
              <w:t>kf</w:t>
            </w:r>
            <w:r w:rsidRPr="00F03A2F">
              <w:rPr>
                <w:b/>
                <w:color w:val="000000" w:themeColor="text1"/>
              </w:rPr>
              <w:t>orce Fund</w:t>
            </w:r>
            <w:r w:rsidR="0052496E">
              <w:rPr>
                <w:b/>
                <w:color w:val="000000" w:themeColor="text1"/>
              </w:rPr>
              <w:t xml:space="preserve"> 201</w:t>
            </w:r>
            <w:r w:rsidR="008B16AB">
              <w:rPr>
                <w:b/>
                <w:color w:val="000000" w:themeColor="text1"/>
              </w:rPr>
              <w:t>9</w:t>
            </w:r>
            <w:r w:rsidR="0052496E">
              <w:rPr>
                <w:b/>
                <w:color w:val="000000" w:themeColor="text1"/>
              </w:rPr>
              <w:t>-</w:t>
            </w:r>
            <w:r w:rsidR="008B16AB">
              <w:rPr>
                <w:b/>
                <w:color w:val="000000" w:themeColor="text1"/>
              </w:rPr>
              <w:t>20</w:t>
            </w:r>
          </w:p>
        </w:tc>
        <w:tc>
          <w:tcPr>
            <w:tcW w:w="1247" w:type="dxa"/>
            <w:vAlign w:val="center"/>
          </w:tcPr>
          <w:p w:rsidR="00D842D2" w:rsidRDefault="00D842D2" w:rsidP="00FD088B">
            <w:pPr>
              <w:pStyle w:val="Default"/>
              <w:jc w:val="center"/>
              <w:rPr>
                <w:b/>
                <w:color w:val="000000" w:themeColor="text1"/>
                <w:sz w:val="22"/>
                <w:szCs w:val="22"/>
              </w:rPr>
            </w:pPr>
            <w:r w:rsidRPr="00F03A2F">
              <w:rPr>
                <w:b/>
                <w:color w:val="000000" w:themeColor="text1"/>
                <w:sz w:val="22"/>
                <w:szCs w:val="22"/>
              </w:rPr>
              <w:t>City of Glasgow College</w:t>
            </w:r>
          </w:p>
          <w:p w:rsidR="006C2806" w:rsidRPr="00F03A2F" w:rsidRDefault="006C2806" w:rsidP="00FD088B">
            <w:pPr>
              <w:pStyle w:val="Default"/>
              <w:jc w:val="center"/>
              <w:rPr>
                <w:rFonts w:asciiTheme="minorHAnsi" w:hAnsiTheme="minorHAnsi"/>
                <w:color w:val="000000" w:themeColor="text1"/>
                <w:sz w:val="22"/>
                <w:szCs w:val="22"/>
              </w:rPr>
            </w:pPr>
            <w:r>
              <w:rPr>
                <w:b/>
                <w:color w:val="000000" w:themeColor="text1"/>
                <w:sz w:val="22"/>
                <w:szCs w:val="22"/>
              </w:rPr>
              <w:t>£’000</w:t>
            </w:r>
          </w:p>
        </w:tc>
        <w:tc>
          <w:tcPr>
            <w:tcW w:w="1247" w:type="dxa"/>
            <w:vAlign w:val="center"/>
          </w:tcPr>
          <w:p w:rsidR="00D842D2" w:rsidRDefault="00D842D2" w:rsidP="00FD088B">
            <w:pPr>
              <w:pStyle w:val="Default"/>
              <w:jc w:val="center"/>
              <w:rPr>
                <w:b/>
                <w:color w:val="000000" w:themeColor="text1"/>
                <w:sz w:val="22"/>
                <w:szCs w:val="22"/>
              </w:rPr>
            </w:pPr>
            <w:r w:rsidRPr="00F03A2F">
              <w:rPr>
                <w:b/>
                <w:color w:val="000000" w:themeColor="text1"/>
                <w:sz w:val="22"/>
                <w:szCs w:val="22"/>
              </w:rPr>
              <w:t>Glasgow Clyde College</w:t>
            </w:r>
          </w:p>
          <w:p w:rsidR="006C2806" w:rsidRPr="00F03A2F" w:rsidRDefault="006C2806" w:rsidP="00FD088B">
            <w:pPr>
              <w:pStyle w:val="Default"/>
              <w:jc w:val="center"/>
              <w:rPr>
                <w:rFonts w:asciiTheme="minorHAnsi" w:hAnsiTheme="minorHAnsi"/>
                <w:color w:val="000000" w:themeColor="text1"/>
                <w:sz w:val="22"/>
                <w:szCs w:val="22"/>
              </w:rPr>
            </w:pPr>
            <w:r>
              <w:rPr>
                <w:b/>
                <w:color w:val="000000" w:themeColor="text1"/>
                <w:sz w:val="22"/>
                <w:szCs w:val="22"/>
              </w:rPr>
              <w:t>£’000</w:t>
            </w:r>
          </w:p>
        </w:tc>
        <w:tc>
          <w:tcPr>
            <w:tcW w:w="1247" w:type="dxa"/>
            <w:vAlign w:val="center"/>
          </w:tcPr>
          <w:p w:rsidR="00D842D2" w:rsidRDefault="00D842D2" w:rsidP="00FD088B">
            <w:pPr>
              <w:pStyle w:val="Default"/>
              <w:jc w:val="center"/>
              <w:rPr>
                <w:b/>
                <w:color w:val="000000" w:themeColor="text1"/>
                <w:sz w:val="22"/>
                <w:szCs w:val="22"/>
              </w:rPr>
            </w:pPr>
            <w:r w:rsidRPr="00F03A2F">
              <w:rPr>
                <w:b/>
                <w:color w:val="000000" w:themeColor="text1"/>
                <w:sz w:val="22"/>
                <w:szCs w:val="22"/>
              </w:rPr>
              <w:t>Glasgow Kelvin College</w:t>
            </w:r>
          </w:p>
          <w:p w:rsidR="006C2806" w:rsidRPr="00F03A2F" w:rsidRDefault="006C2806" w:rsidP="00FD088B">
            <w:pPr>
              <w:pStyle w:val="Default"/>
              <w:jc w:val="center"/>
              <w:rPr>
                <w:rFonts w:asciiTheme="minorHAnsi" w:hAnsiTheme="minorHAnsi"/>
                <w:color w:val="000000" w:themeColor="text1"/>
                <w:sz w:val="22"/>
                <w:szCs w:val="22"/>
              </w:rPr>
            </w:pPr>
            <w:r>
              <w:rPr>
                <w:b/>
                <w:color w:val="000000" w:themeColor="text1"/>
                <w:sz w:val="22"/>
                <w:szCs w:val="22"/>
              </w:rPr>
              <w:t>£’000</w:t>
            </w:r>
          </w:p>
        </w:tc>
        <w:tc>
          <w:tcPr>
            <w:tcW w:w="1247" w:type="dxa"/>
            <w:vAlign w:val="center"/>
          </w:tcPr>
          <w:p w:rsidR="00D842D2" w:rsidRDefault="00D842D2" w:rsidP="00FD088B">
            <w:pPr>
              <w:pStyle w:val="Default"/>
              <w:jc w:val="center"/>
              <w:rPr>
                <w:b/>
                <w:color w:val="000000" w:themeColor="text1"/>
                <w:sz w:val="22"/>
                <w:szCs w:val="22"/>
              </w:rPr>
            </w:pPr>
            <w:r w:rsidRPr="00F03A2F">
              <w:rPr>
                <w:b/>
                <w:color w:val="000000" w:themeColor="text1"/>
                <w:sz w:val="22"/>
                <w:szCs w:val="22"/>
              </w:rPr>
              <w:t>Total</w:t>
            </w:r>
          </w:p>
          <w:p w:rsidR="006C2806" w:rsidRPr="00F03A2F" w:rsidRDefault="006C2806" w:rsidP="00FD088B">
            <w:pPr>
              <w:pStyle w:val="Default"/>
              <w:jc w:val="center"/>
              <w:rPr>
                <w:b/>
                <w:color w:val="000000" w:themeColor="text1"/>
                <w:sz w:val="22"/>
                <w:szCs w:val="22"/>
              </w:rPr>
            </w:pPr>
            <w:r>
              <w:rPr>
                <w:b/>
                <w:color w:val="000000" w:themeColor="text1"/>
                <w:sz w:val="22"/>
                <w:szCs w:val="22"/>
              </w:rPr>
              <w:t>£’000</w:t>
            </w:r>
          </w:p>
        </w:tc>
      </w:tr>
      <w:tr w:rsidR="00B15041" w:rsidRPr="00BE1A03" w:rsidTr="00485FB3">
        <w:tc>
          <w:tcPr>
            <w:tcW w:w="2810" w:type="dxa"/>
            <w:vAlign w:val="center"/>
          </w:tcPr>
          <w:p w:rsidR="00B15041" w:rsidRDefault="00905901" w:rsidP="000E50DF">
            <w:pPr>
              <w:rPr>
                <w:b/>
                <w:color w:val="000000" w:themeColor="text1"/>
              </w:rPr>
            </w:pPr>
            <w:r>
              <w:rPr>
                <w:b/>
                <w:color w:val="000000" w:themeColor="text1"/>
              </w:rPr>
              <w:t>Contracted t</w:t>
            </w:r>
            <w:r w:rsidR="00A66B88">
              <w:rPr>
                <w:b/>
                <w:color w:val="000000" w:themeColor="text1"/>
              </w:rPr>
              <w:t>raining at 3</w:t>
            </w:r>
            <w:r w:rsidR="000E50DF">
              <w:rPr>
                <w:b/>
                <w:color w:val="000000" w:themeColor="text1"/>
              </w:rPr>
              <w:t>0 Nov</w:t>
            </w:r>
            <w:r w:rsidR="00B15041">
              <w:rPr>
                <w:b/>
                <w:color w:val="000000" w:themeColor="text1"/>
              </w:rPr>
              <w:t xml:space="preserve"> 20</w:t>
            </w:r>
            <w:r w:rsidR="008928DF">
              <w:rPr>
                <w:b/>
                <w:color w:val="000000" w:themeColor="text1"/>
              </w:rPr>
              <w:t>19</w:t>
            </w:r>
          </w:p>
        </w:tc>
        <w:tc>
          <w:tcPr>
            <w:tcW w:w="1247" w:type="dxa"/>
            <w:shd w:val="clear" w:color="auto" w:fill="auto"/>
            <w:vAlign w:val="center"/>
          </w:tcPr>
          <w:p w:rsidR="00B15041" w:rsidRPr="00077DB7" w:rsidRDefault="00B15041" w:rsidP="008B16AB">
            <w:pPr>
              <w:pStyle w:val="Default"/>
              <w:jc w:val="right"/>
              <w:rPr>
                <w:rFonts w:asciiTheme="minorHAnsi" w:hAnsiTheme="minorHAnsi"/>
                <w:color w:val="000000" w:themeColor="text1"/>
                <w:sz w:val="22"/>
                <w:szCs w:val="22"/>
              </w:rPr>
            </w:pPr>
            <w:r w:rsidRPr="00077DB7">
              <w:rPr>
                <w:rFonts w:asciiTheme="minorHAnsi" w:hAnsiTheme="minorHAnsi"/>
                <w:color w:val="000000" w:themeColor="text1"/>
                <w:sz w:val="22"/>
                <w:szCs w:val="22"/>
              </w:rPr>
              <w:t>£</w:t>
            </w:r>
            <w:r w:rsidR="008B16AB">
              <w:rPr>
                <w:rFonts w:asciiTheme="minorHAnsi" w:hAnsiTheme="minorHAnsi"/>
                <w:color w:val="000000" w:themeColor="text1"/>
                <w:sz w:val="22"/>
                <w:szCs w:val="22"/>
              </w:rPr>
              <w:t>243</w:t>
            </w:r>
          </w:p>
        </w:tc>
        <w:tc>
          <w:tcPr>
            <w:tcW w:w="1247" w:type="dxa"/>
            <w:shd w:val="clear" w:color="auto" w:fill="auto"/>
            <w:vAlign w:val="center"/>
          </w:tcPr>
          <w:p w:rsidR="00B15041" w:rsidRPr="00077DB7" w:rsidRDefault="0040048C" w:rsidP="008B16AB">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w:t>
            </w:r>
            <w:r w:rsidR="006C2806">
              <w:rPr>
                <w:rFonts w:asciiTheme="minorHAnsi" w:hAnsiTheme="minorHAnsi"/>
                <w:color w:val="000000" w:themeColor="text1"/>
                <w:sz w:val="22"/>
                <w:szCs w:val="22"/>
              </w:rPr>
              <w:t>231</w:t>
            </w:r>
          </w:p>
        </w:tc>
        <w:tc>
          <w:tcPr>
            <w:tcW w:w="1247" w:type="dxa"/>
            <w:shd w:val="clear" w:color="auto" w:fill="auto"/>
            <w:vAlign w:val="center"/>
          </w:tcPr>
          <w:p w:rsidR="00B15041" w:rsidRPr="00077DB7" w:rsidRDefault="0040048C" w:rsidP="008B16AB">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w:t>
            </w:r>
            <w:r w:rsidR="006C2806">
              <w:rPr>
                <w:rFonts w:asciiTheme="minorHAnsi" w:hAnsiTheme="minorHAnsi"/>
                <w:color w:val="000000" w:themeColor="text1"/>
                <w:sz w:val="22"/>
                <w:szCs w:val="22"/>
              </w:rPr>
              <w:t>255</w:t>
            </w:r>
          </w:p>
        </w:tc>
        <w:tc>
          <w:tcPr>
            <w:tcW w:w="1247" w:type="dxa"/>
            <w:shd w:val="clear" w:color="auto" w:fill="auto"/>
            <w:vAlign w:val="center"/>
          </w:tcPr>
          <w:p w:rsidR="00B15041" w:rsidRPr="00077DB7" w:rsidRDefault="0040048C" w:rsidP="00DC535D">
            <w:pPr>
              <w:pStyle w:val="Default"/>
              <w:jc w:val="right"/>
              <w:rPr>
                <w:rFonts w:asciiTheme="minorHAnsi" w:hAnsiTheme="minorHAnsi"/>
                <w:b/>
                <w:noProof/>
                <w:color w:val="000000" w:themeColor="text1"/>
                <w:sz w:val="22"/>
                <w:szCs w:val="22"/>
              </w:rPr>
            </w:pPr>
            <w:r>
              <w:rPr>
                <w:rFonts w:asciiTheme="minorHAnsi" w:hAnsiTheme="minorHAnsi"/>
                <w:b/>
                <w:noProof/>
                <w:color w:val="000000" w:themeColor="text1"/>
                <w:sz w:val="22"/>
                <w:szCs w:val="22"/>
              </w:rPr>
              <w:fldChar w:fldCharType="begin"/>
            </w:r>
            <w:r>
              <w:rPr>
                <w:rFonts w:asciiTheme="minorHAnsi" w:hAnsiTheme="minorHAnsi"/>
                <w:b/>
                <w:noProof/>
                <w:color w:val="000000" w:themeColor="text1"/>
                <w:sz w:val="22"/>
                <w:szCs w:val="22"/>
              </w:rPr>
              <w:instrText xml:space="preserve"> =SUM(LEFT) \# "£#,##0;(£#,##0)" </w:instrText>
            </w:r>
            <w:r>
              <w:rPr>
                <w:rFonts w:asciiTheme="minorHAnsi" w:hAnsiTheme="minorHAnsi"/>
                <w:b/>
                <w:noProof/>
                <w:color w:val="000000" w:themeColor="text1"/>
                <w:sz w:val="22"/>
                <w:szCs w:val="22"/>
              </w:rPr>
              <w:fldChar w:fldCharType="separate"/>
            </w:r>
            <w:r w:rsidR="006C2806">
              <w:rPr>
                <w:rFonts w:asciiTheme="minorHAnsi" w:hAnsiTheme="minorHAnsi"/>
                <w:b/>
                <w:noProof/>
                <w:color w:val="000000" w:themeColor="text1"/>
                <w:sz w:val="22"/>
                <w:szCs w:val="22"/>
              </w:rPr>
              <w:t>£ 729</w:t>
            </w:r>
            <w:r>
              <w:rPr>
                <w:rFonts w:asciiTheme="minorHAnsi" w:hAnsiTheme="minorHAnsi"/>
                <w:b/>
                <w:noProof/>
                <w:color w:val="000000" w:themeColor="text1"/>
                <w:sz w:val="22"/>
                <w:szCs w:val="22"/>
              </w:rPr>
              <w:fldChar w:fldCharType="end"/>
            </w:r>
          </w:p>
        </w:tc>
      </w:tr>
      <w:tr w:rsidR="00D842D2" w:rsidRPr="00BE1A03" w:rsidTr="00485FB3">
        <w:tc>
          <w:tcPr>
            <w:tcW w:w="2810" w:type="dxa"/>
            <w:vAlign w:val="center"/>
          </w:tcPr>
          <w:p w:rsidR="00D842D2" w:rsidRDefault="00D842D2" w:rsidP="008B16AB">
            <w:pPr>
              <w:rPr>
                <w:b/>
                <w:color w:val="000000" w:themeColor="text1"/>
              </w:rPr>
            </w:pPr>
            <w:r>
              <w:rPr>
                <w:b/>
                <w:color w:val="000000" w:themeColor="text1"/>
              </w:rPr>
              <w:t>V</w:t>
            </w:r>
            <w:r w:rsidR="00905901">
              <w:rPr>
                <w:b/>
                <w:color w:val="000000" w:themeColor="text1"/>
              </w:rPr>
              <w:t>alue of training u</w:t>
            </w:r>
            <w:r w:rsidR="0040048C">
              <w:rPr>
                <w:b/>
                <w:color w:val="000000" w:themeColor="text1"/>
              </w:rPr>
              <w:t xml:space="preserve">ndertaken at </w:t>
            </w:r>
            <w:r w:rsidR="008B16AB">
              <w:rPr>
                <w:b/>
                <w:color w:val="000000" w:themeColor="text1"/>
              </w:rPr>
              <w:t>30</w:t>
            </w:r>
            <w:r w:rsidR="0040048C">
              <w:rPr>
                <w:b/>
                <w:color w:val="000000" w:themeColor="text1"/>
              </w:rPr>
              <w:t xml:space="preserve"> </w:t>
            </w:r>
            <w:r w:rsidR="000E50DF">
              <w:rPr>
                <w:b/>
                <w:color w:val="000000" w:themeColor="text1"/>
              </w:rPr>
              <w:t>Nov</w:t>
            </w:r>
            <w:r w:rsidR="0040048C">
              <w:rPr>
                <w:b/>
                <w:color w:val="000000" w:themeColor="text1"/>
              </w:rPr>
              <w:t xml:space="preserve"> 201</w:t>
            </w:r>
            <w:r w:rsidR="008928DF">
              <w:rPr>
                <w:b/>
                <w:color w:val="000000" w:themeColor="text1"/>
              </w:rPr>
              <w:t>9</w:t>
            </w:r>
          </w:p>
        </w:tc>
        <w:tc>
          <w:tcPr>
            <w:tcW w:w="1247" w:type="dxa"/>
            <w:vAlign w:val="center"/>
          </w:tcPr>
          <w:p w:rsidR="00D842D2" w:rsidRPr="00397268" w:rsidRDefault="00D842D2" w:rsidP="008B16AB">
            <w:pPr>
              <w:pStyle w:val="Default"/>
              <w:jc w:val="right"/>
              <w:rPr>
                <w:rFonts w:asciiTheme="minorHAnsi" w:hAnsiTheme="minorHAnsi"/>
                <w:color w:val="000000" w:themeColor="text1"/>
                <w:sz w:val="22"/>
                <w:szCs w:val="22"/>
              </w:rPr>
            </w:pPr>
            <w:r w:rsidRPr="00397268">
              <w:rPr>
                <w:rFonts w:asciiTheme="minorHAnsi" w:hAnsiTheme="minorHAnsi"/>
                <w:color w:val="000000" w:themeColor="text1"/>
                <w:sz w:val="22"/>
                <w:szCs w:val="22"/>
              </w:rPr>
              <w:t>£</w:t>
            </w:r>
            <w:r w:rsidR="008B16AB">
              <w:rPr>
                <w:rFonts w:asciiTheme="minorHAnsi" w:hAnsiTheme="minorHAnsi"/>
                <w:color w:val="000000" w:themeColor="text1"/>
                <w:sz w:val="22"/>
                <w:szCs w:val="22"/>
              </w:rPr>
              <w:t>1</w:t>
            </w:r>
            <w:r w:rsidR="006C2806">
              <w:rPr>
                <w:rFonts w:asciiTheme="minorHAnsi" w:hAnsiTheme="minorHAnsi"/>
                <w:color w:val="000000" w:themeColor="text1"/>
                <w:sz w:val="22"/>
                <w:szCs w:val="22"/>
              </w:rPr>
              <w:t>1</w:t>
            </w:r>
          </w:p>
        </w:tc>
        <w:tc>
          <w:tcPr>
            <w:tcW w:w="1247" w:type="dxa"/>
            <w:shd w:val="clear" w:color="auto" w:fill="FFFFFF" w:themeFill="background1"/>
            <w:vAlign w:val="center"/>
          </w:tcPr>
          <w:p w:rsidR="00D842D2" w:rsidRPr="00397268" w:rsidRDefault="00D842D2" w:rsidP="008B16AB">
            <w:pPr>
              <w:pStyle w:val="Default"/>
              <w:jc w:val="right"/>
              <w:rPr>
                <w:rFonts w:asciiTheme="minorHAnsi" w:hAnsiTheme="minorHAnsi"/>
                <w:color w:val="000000" w:themeColor="text1"/>
                <w:sz w:val="22"/>
                <w:szCs w:val="22"/>
              </w:rPr>
            </w:pPr>
            <w:r w:rsidRPr="00397268">
              <w:rPr>
                <w:rFonts w:asciiTheme="minorHAnsi" w:hAnsiTheme="minorHAnsi"/>
                <w:color w:val="000000" w:themeColor="text1"/>
                <w:sz w:val="22"/>
                <w:szCs w:val="22"/>
              </w:rPr>
              <w:t>£</w:t>
            </w:r>
            <w:r w:rsidR="008B16AB">
              <w:rPr>
                <w:rFonts w:asciiTheme="minorHAnsi" w:hAnsiTheme="minorHAnsi"/>
                <w:color w:val="000000" w:themeColor="text1"/>
                <w:sz w:val="22"/>
                <w:szCs w:val="22"/>
              </w:rPr>
              <w:t>6</w:t>
            </w:r>
          </w:p>
        </w:tc>
        <w:tc>
          <w:tcPr>
            <w:tcW w:w="1247" w:type="dxa"/>
            <w:shd w:val="clear" w:color="auto" w:fill="FFFFFF" w:themeFill="background1"/>
            <w:vAlign w:val="center"/>
          </w:tcPr>
          <w:p w:rsidR="00D842D2" w:rsidRPr="00397268" w:rsidRDefault="00D842D2" w:rsidP="008B16AB">
            <w:pPr>
              <w:pStyle w:val="Default"/>
              <w:jc w:val="right"/>
              <w:rPr>
                <w:rFonts w:asciiTheme="minorHAnsi" w:hAnsiTheme="minorHAnsi"/>
                <w:color w:val="000000" w:themeColor="text1"/>
                <w:sz w:val="22"/>
                <w:szCs w:val="22"/>
              </w:rPr>
            </w:pPr>
            <w:r w:rsidRPr="00397268">
              <w:rPr>
                <w:rFonts w:asciiTheme="minorHAnsi" w:hAnsiTheme="minorHAnsi"/>
                <w:color w:val="000000" w:themeColor="text1"/>
                <w:sz w:val="22"/>
                <w:szCs w:val="22"/>
              </w:rPr>
              <w:t>£</w:t>
            </w:r>
            <w:r w:rsidR="008928DF">
              <w:rPr>
                <w:rFonts w:asciiTheme="minorHAnsi" w:hAnsiTheme="minorHAnsi"/>
                <w:color w:val="000000" w:themeColor="text1"/>
                <w:sz w:val="22"/>
                <w:szCs w:val="22"/>
              </w:rPr>
              <w:t>2</w:t>
            </w:r>
            <w:r w:rsidR="008B16AB">
              <w:rPr>
                <w:rFonts w:asciiTheme="minorHAnsi" w:hAnsiTheme="minorHAnsi"/>
                <w:color w:val="000000" w:themeColor="text1"/>
                <w:sz w:val="22"/>
                <w:szCs w:val="22"/>
              </w:rPr>
              <w:t>0</w:t>
            </w:r>
          </w:p>
        </w:tc>
        <w:tc>
          <w:tcPr>
            <w:tcW w:w="1247" w:type="dxa"/>
            <w:vAlign w:val="center"/>
          </w:tcPr>
          <w:p w:rsidR="00D842D2" w:rsidRPr="00397268" w:rsidRDefault="00905901" w:rsidP="00D842D2">
            <w:pPr>
              <w:pStyle w:val="Default"/>
              <w:jc w:val="right"/>
              <w:rPr>
                <w:rFonts w:asciiTheme="minorHAnsi" w:hAnsiTheme="minorHAnsi"/>
                <w:b/>
                <w:noProof/>
                <w:color w:val="000000" w:themeColor="text1"/>
                <w:sz w:val="22"/>
                <w:szCs w:val="22"/>
              </w:rPr>
            </w:pPr>
            <w:r>
              <w:rPr>
                <w:rFonts w:asciiTheme="minorHAnsi" w:hAnsiTheme="minorHAnsi"/>
                <w:b/>
                <w:noProof/>
                <w:color w:val="000000" w:themeColor="text1"/>
                <w:sz w:val="22"/>
                <w:szCs w:val="22"/>
              </w:rPr>
              <w:fldChar w:fldCharType="begin"/>
            </w:r>
            <w:r>
              <w:rPr>
                <w:rFonts w:asciiTheme="minorHAnsi" w:hAnsiTheme="minorHAnsi"/>
                <w:b/>
                <w:noProof/>
                <w:color w:val="000000" w:themeColor="text1"/>
                <w:sz w:val="22"/>
                <w:szCs w:val="22"/>
              </w:rPr>
              <w:instrText xml:space="preserve"> =SUM(LEFT) \# "£#,##0;(£#,##0)" </w:instrText>
            </w:r>
            <w:r>
              <w:rPr>
                <w:rFonts w:asciiTheme="minorHAnsi" w:hAnsiTheme="minorHAnsi"/>
                <w:b/>
                <w:noProof/>
                <w:color w:val="000000" w:themeColor="text1"/>
                <w:sz w:val="22"/>
                <w:szCs w:val="22"/>
              </w:rPr>
              <w:fldChar w:fldCharType="separate"/>
            </w:r>
            <w:r w:rsidR="006C2806">
              <w:rPr>
                <w:rFonts w:asciiTheme="minorHAnsi" w:hAnsiTheme="minorHAnsi"/>
                <w:b/>
                <w:noProof/>
                <w:color w:val="000000" w:themeColor="text1"/>
                <w:sz w:val="22"/>
                <w:szCs w:val="22"/>
              </w:rPr>
              <w:t>£  37</w:t>
            </w:r>
            <w:r>
              <w:rPr>
                <w:rFonts w:asciiTheme="minorHAnsi" w:hAnsiTheme="minorHAnsi"/>
                <w:b/>
                <w:noProof/>
                <w:color w:val="000000" w:themeColor="text1"/>
                <w:sz w:val="22"/>
                <w:szCs w:val="22"/>
              </w:rPr>
              <w:fldChar w:fldCharType="end"/>
            </w:r>
          </w:p>
        </w:tc>
      </w:tr>
      <w:tr w:rsidR="0038087B" w:rsidRPr="00BE1A03" w:rsidTr="00485FB3">
        <w:tc>
          <w:tcPr>
            <w:tcW w:w="2810" w:type="dxa"/>
            <w:vAlign w:val="center"/>
          </w:tcPr>
          <w:p w:rsidR="0038087B" w:rsidRDefault="0038087B" w:rsidP="008B16AB">
            <w:pPr>
              <w:rPr>
                <w:b/>
                <w:color w:val="000000" w:themeColor="text1"/>
              </w:rPr>
            </w:pPr>
            <w:r>
              <w:rPr>
                <w:b/>
                <w:color w:val="000000" w:themeColor="text1"/>
              </w:rPr>
              <w:t>Percentage of training delivered</w:t>
            </w:r>
            <w:r w:rsidR="008B16AB">
              <w:rPr>
                <w:b/>
                <w:color w:val="000000" w:themeColor="text1"/>
              </w:rPr>
              <w:t xml:space="preserve"> at 30</w:t>
            </w:r>
            <w:r w:rsidR="00905901">
              <w:rPr>
                <w:b/>
                <w:color w:val="000000" w:themeColor="text1"/>
              </w:rPr>
              <w:t xml:space="preserve"> </w:t>
            </w:r>
            <w:r w:rsidR="000E50DF">
              <w:rPr>
                <w:b/>
                <w:color w:val="000000" w:themeColor="text1"/>
              </w:rPr>
              <w:t>Nov</w:t>
            </w:r>
            <w:r w:rsidR="00905901">
              <w:rPr>
                <w:b/>
                <w:color w:val="000000" w:themeColor="text1"/>
              </w:rPr>
              <w:t xml:space="preserve"> 201</w:t>
            </w:r>
            <w:r w:rsidR="008928DF">
              <w:rPr>
                <w:b/>
                <w:color w:val="000000" w:themeColor="text1"/>
              </w:rPr>
              <w:t>9</w:t>
            </w:r>
          </w:p>
        </w:tc>
        <w:tc>
          <w:tcPr>
            <w:tcW w:w="1247" w:type="dxa"/>
            <w:vAlign w:val="center"/>
          </w:tcPr>
          <w:p w:rsidR="0038087B" w:rsidRPr="00397268" w:rsidRDefault="008B16AB" w:rsidP="00D842D2">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5</w:t>
            </w:r>
            <w:r w:rsidR="00905901">
              <w:rPr>
                <w:rFonts w:asciiTheme="minorHAnsi" w:hAnsiTheme="minorHAnsi"/>
                <w:color w:val="000000" w:themeColor="text1"/>
                <w:sz w:val="22"/>
                <w:szCs w:val="22"/>
              </w:rPr>
              <w:t>%</w:t>
            </w:r>
          </w:p>
        </w:tc>
        <w:tc>
          <w:tcPr>
            <w:tcW w:w="1247" w:type="dxa"/>
            <w:shd w:val="clear" w:color="auto" w:fill="FFFFFF" w:themeFill="background1"/>
            <w:vAlign w:val="center"/>
          </w:tcPr>
          <w:p w:rsidR="0038087B" w:rsidRPr="00397268" w:rsidRDefault="008B16AB" w:rsidP="00397268">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3</w:t>
            </w:r>
            <w:r w:rsidR="00905901">
              <w:rPr>
                <w:rFonts w:asciiTheme="minorHAnsi" w:hAnsiTheme="minorHAnsi"/>
                <w:color w:val="000000" w:themeColor="text1"/>
                <w:sz w:val="22"/>
                <w:szCs w:val="22"/>
              </w:rPr>
              <w:t>%</w:t>
            </w:r>
          </w:p>
        </w:tc>
        <w:tc>
          <w:tcPr>
            <w:tcW w:w="1247" w:type="dxa"/>
            <w:shd w:val="clear" w:color="auto" w:fill="FFFFFF" w:themeFill="background1"/>
            <w:vAlign w:val="center"/>
          </w:tcPr>
          <w:p w:rsidR="0038087B" w:rsidRPr="00397268" w:rsidRDefault="008B16AB" w:rsidP="00D842D2">
            <w:pPr>
              <w:pStyle w:val="Default"/>
              <w:jc w:val="right"/>
              <w:rPr>
                <w:rFonts w:asciiTheme="minorHAnsi" w:hAnsiTheme="minorHAnsi"/>
                <w:color w:val="000000" w:themeColor="text1"/>
                <w:sz w:val="22"/>
                <w:szCs w:val="22"/>
              </w:rPr>
            </w:pPr>
            <w:r>
              <w:rPr>
                <w:rFonts w:asciiTheme="minorHAnsi" w:hAnsiTheme="minorHAnsi"/>
                <w:color w:val="000000" w:themeColor="text1"/>
                <w:sz w:val="22"/>
                <w:szCs w:val="22"/>
              </w:rPr>
              <w:t>8</w:t>
            </w:r>
            <w:r w:rsidR="00905901">
              <w:rPr>
                <w:rFonts w:asciiTheme="minorHAnsi" w:hAnsiTheme="minorHAnsi"/>
                <w:color w:val="000000" w:themeColor="text1"/>
                <w:sz w:val="22"/>
                <w:szCs w:val="22"/>
              </w:rPr>
              <w:t>%</w:t>
            </w:r>
          </w:p>
        </w:tc>
        <w:tc>
          <w:tcPr>
            <w:tcW w:w="1247" w:type="dxa"/>
            <w:vAlign w:val="center"/>
          </w:tcPr>
          <w:p w:rsidR="0038087B" w:rsidRPr="00397268" w:rsidRDefault="008B16AB" w:rsidP="00D842D2">
            <w:pPr>
              <w:pStyle w:val="Default"/>
              <w:jc w:val="right"/>
              <w:rPr>
                <w:rFonts w:asciiTheme="minorHAnsi" w:hAnsiTheme="minorHAnsi"/>
                <w:b/>
                <w:noProof/>
                <w:color w:val="000000" w:themeColor="text1"/>
                <w:sz w:val="22"/>
                <w:szCs w:val="22"/>
              </w:rPr>
            </w:pPr>
            <w:r>
              <w:rPr>
                <w:rFonts w:asciiTheme="minorHAnsi" w:hAnsiTheme="minorHAnsi"/>
                <w:b/>
                <w:noProof/>
                <w:color w:val="000000" w:themeColor="text1"/>
                <w:sz w:val="22"/>
                <w:szCs w:val="22"/>
              </w:rPr>
              <w:t>5</w:t>
            </w:r>
            <w:r w:rsidR="00905901">
              <w:rPr>
                <w:rFonts w:asciiTheme="minorHAnsi" w:hAnsiTheme="minorHAnsi"/>
                <w:b/>
                <w:noProof/>
                <w:color w:val="000000" w:themeColor="text1"/>
                <w:sz w:val="22"/>
                <w:szCs w:val="22"/>
              </w:rPr>
              <w:t>%</w:t>
            </w:r>
          </w:p>
        </w:tc>
      </w:tr>
    </w:tbl>
    <w:p w:rsidR="001A6254" w:rsidRDefault="001A6254" w:rsidP="005D0615">
      <w:pPr>
        <w:pStyle w:val="Paperparalevel2"/>
        <w:numPr>
          <w:ilvl w:val="0"/>
          <w:numId w:val="0"/>
        </w:numPr>
      </w:pPr>
      <w:r w:rsidRPr="001A6254">
        <w:t> </w:t>
      </w:r>
    </w:p>
    <w:p w:rsidR="000E50DF" w:rsidRDefault="000E50DF" w:rsidP="000E50DF">
      <w:pPr>
        <w:pStyle w:val="Paperparalevel2"/>
        <w:spacing w:before="240"/>
        <w:ind w:left="1134" w:hanging="567"/>
      </w:pPr>
      <w:r>
        <w:t xml:space="preserve">For comparison purposes, the table below provides a summary of the position at 30 November 2018 (for 2018-19). The value of training contracted/agreed at 30 November 2019 (£729,000) compares favourably with the same period last year. </w:t>
      </w:r>
    </w:p>
    <w:tbl>
      <w:tblPr>
        <w:tblStyle w:val="TableGrid"/>
        <w:tblW w:w="7800" w:type="dxa"/>
        <w:tblInd w:w="1220" w:type="dxa"/>
        <w:tblLook w:val="04A0" w:firstRow="1" w:lastRow="0" w:firstColumn="1" w:lastColumn="0" w:noHBand="0" w:noVBand="1"/>
      </w:tblPr>
      <w:tblGrid>
        <w:gridCol w:w="2812"/>
        <w:gridCol w:w="1247"/>
        <w:gridCol w:w="1247"/>
        <w:gridCol w:w="1247"/>
        <w:gridCol w:w="1247"/>
      </w:tblGrid>
      <w:tr w:rsidR="000E50DF" w:rsidTr="000E50DF">
        <w:tc>
          <w:tcPr>
            <w:tcW w:w="2812" w:type="dxa"/>
            <w:vAlign w:val="center"/>
          </w:tcPr>
          <w:p w:rsidR="000E50DF" w:rsidRDefault="000E50DF" w:rsidP="000E50DF">
            <w:pPr>
              <w:pStyle w:val="Paperparalevel1"/>
              <w:numPr>
                <w:ilvl w:val="0"/>
                <w:numId w:val="0"/>
              </w:numPr>
            </w:pPr>
            <w:r w:rsidRPr="00F03A2F">
              <w:rPr>
                <w:color w:val="000000" w:themeColor="text1"/>
              </w:rPr>
              <w:t>Flexible Wor</w:t>
            </w:r>
            <w:r>
              <w:rPr>
                <w:color w:val="000000" w:themeColor="text1"/>
              </w:rPr>
              <w:t>kf</w:t>
            </w:r>
            <w:r w:rsidRPr="00F03A2F">
              <w:rPr>
                <w:color w:val="000000" w:themeColor="text1"/>
              </w:rPr>
              <w:t>orce Fund</w:t>
            </w:r>
            <w:r>
              <w:rPr>
                <w:color w:val="000000" w:themeColor="text1"/>
              </w:rPr>
              <w:t xml:space="preserve"> 2018-19</w:t>
            </w:r>
          </w:p>
        </w:tc>
        <w:tc>
          <w:tcPr>
            <w:tcW w:w="1247" w:type="dxa"/>
          </w:tcPr>
          <w:p w:rsidR="000E50DF" w:rsidRDefault="000E50DF" w:rsidP="00686B2C">
            <w:pPr>
              <w:pStyle w:val="Paperparalevel1"/>
              <w:numPr>
                <w:ilvl w:val="0"/>
                <w:numId w:val="0"/>
              </w:numPr>
              <w:spacing w:after="120"/>
              <w:jc w:val="center"/>
            </w:pPr>
            <w:r>
              <w:t>City of Glasgow College</w:t>
            </w:r>
          </w:p>
          <w:p w:rsidR="000E50DF" w:rsidRDefault="000E50DF" w:rsidP="00686B2C">
            <w:pPr>
              <w:pStyle w:val="Paperparalevel1"/>
              <w:numPr>
                <w:ilvl w:val="0"/>
                <w:numId w:val="0"/>
              </w:numPr>
              <w:spacing w:after="120"/>
              <w:jc w:val="center"/>
            </w:pPr>
            <w:r>
              <w:t>£’000</w:t>
            </w:r>
          </w:p>
        </w:tc>
        <w:tc>
          <w:tcPr>
            <w:tcW w:w="1247" w:type="dxa"/>
          </w:tcPr>
          <w:p w:rsidR="000E50DF" w:rsidRDefault="000E50DF" w:rsidP="00686B2C">
            <w:pPr>
              <w:pStyle w:val="Paperparalevel1"/>
              <w:numPr>
                <w:ilvl w:val="0"/>
                <w:numId w:val="0"/>
              </w:numPr>
              <w:spacing w:after="120"/>
              <w:jc w:val="center"/>
            </w:pPr>
            <w:r>
              <w:t>Glasgow Clyde College £’000</w:t>
            </w:r>
          </w:p>
        </w:tc>
        <w:tc>
          <w:tcPr>
            <w:tcW w:w="1247" w:type="dxa"/>
          </w:tcPr>
          <w:p w:rsidR="000E50DF" w:rsidRDefault="000E50DF" w:rsidP="00686B2C">
            <w:pPr>
              <w:pStyle w:val="Paperparalevel1"/>
              <w:numPr>
                <w:ilvl w:val="0"/>
                <w:numId w:val="0"/>
              </w:numPr>
              <w:spacing w:after="120"/>
              <w:jc w:val="center"/>
            </w:pPr>
            <w:r>
              <w:t>Glasgow Kelvin College £’000</w:t>
            </w:r>
          </w:p>
        </w:tc>
        <w:tc>
          <w:tcPr>
            <w:tcW w:w="1247" w:type="dxa"/>
          </w:tcPr>
          <w:p w:rsidR="000E50DF" w:rsidRDefault="000E50DF" w:rsidP="00686B2C">
            <w:pPr>
              <w:pStyle w:val="Paperparalevel1"/>
              <w:numPr>
                <w:ilvl w:val="0"/>
                <w:numId w:val="0"/>
              </w:numPr>
              <w:spacing w:after="120"/>
              <w:jc w:val="center"/>
            </w:pPr>
            <w:r>
              <w:t>Total £’000</w:t>
            </w:r>
          </w:p>
        </w:tc>
      </w:tr>
      <w:tr w:rsidR="000E50DF" w:rsidRPr="000B21A5" w:rsidTr="000E50DF">
        <w:trPr>
          <w:trHeight w:val="283"/>
        </w:trPr>
        <w:tc>
          <w:tcPr>
            <w:tcW w:w="2812" w:type="dxa"/>
            <w:vAlign w:val="center"/>
          </w:tcPr>
          <w:p w:rsidR="000E50DF" w:rsidRPr="00924459" w:rsidRDefault="000E50DF" w:rsidP="000E50DF">
            <w:pPr>
              <w:pStyle w:val="Paperparalevel1"/>
              <w:numPr>
                <w:ilvl w:val="0"/>
                <w:numId w:val="0"/>
              </w:numPr>
              <w:spacing w:after="0"/>
            </w:pPr>
            <w:r w:rsidRPr="00924459">
              <w:t>C</w:t>
            </w:r>
            <w:r>
              <w:t>ommitted</w:t>
            </w:r>
            <w:r w:rsidRPr="00924459">
              <w:t xml:space="preserve"> Training at</w:t>
            </w:r>
            <w:r>
              <w:t xml:space="preserve"> 30 Nov </w:t>
            </w:r>
            <w:r w:rsidRPr="00924459">
              <w:t>2018</w:t>
            </w:r>
          </w:p>
        </w:tc>
        <w:tc>
          <w:tcPr>
            <w:tcW w:w="1247" w:type="dxa"/>
            <w:vAlign w:val="center"/>
          </w:tcPr>
          <w:p w:rsidR="000E50DF" w:rsidRPr="000B21A5" w:rsidRDefault="000E50DF" w:rsidP="00686B2C">
            <w:pPr>
              <w:pStyle w:val="Paperparalevel1"/>
              <w:numPr>
                <w:ilvl w:val="0"/>
                <w:numId w:val="0"/>
              </w:numPr>
              <w:spacing w:after="0"/>
              <w:jc w:val="right"/>
              <w:rPr>
                <w:b w:val="0"/>
              </w:rPr>
            </w:pPr>
            <w:r w:rsidRPr="000B21A5">
              <w:rPr>
                <w:b w:val="0"/>
              </w:rPr>
              <w:t>£</w:t>
            </w:r>
            <w:r>
              <w:rPr>
                <w:b w:val="0"/>
              </w:rPr>
              <w:t>89</w:t>
            </w:r>
          </w:p>
        </w:tc>
        <w:tc>
          <w:tcPr>
            <w:tcW w:w="1247" w:type="dxa"/>
            <w:vAlign w:val="center"/>
          </w:tcPr>
          <w:p w:rsidR="000E50DF" w:rsidRPr="000B21A5" w:rsidRDefault="000E50DF" w:rsidP="00686B2C">
            <w:pPr>
              <w:pStyle w:val="Paperparalevel1"/>
              <w:numPr>
                <w:ilvl w:val="0"/>
                <w:numId w:val="0"/>
              </w:numPr>
              <w:spacing w:after="0"/>
              <w:jc w:val="right"/>
              <w:rPr>
                <w:b w:val="0"/>
              </w:rPr>
            </w:pPr>
            <w:r w:rsidRPr="000B21A5">
              <w:rPr>
                <w:b w:val="0"/>
              </w:rPr>
              <w:t>£</w:t>
            </w:r>
            <w:r>
              <w:rPr>
                <w:b w:val="0"/>
              </w:rPr>
              <w:t>185</w:t>
            </w:r>
          </w:p>
        </w:tc>
        <w:tc>
          <w:tcPr>
            <w:tcW w:w="1247" w:type="dxa"/>
            <w:vAlign w:val="center"/>
          </w:tcPr>
          <w:p w:rsidR="000E50DF" w:rsidRPr="000B21A5" w:rsidRDefault="000E50DF" w:rsidP="00686B2C">
            <w:pPr>
              <w:pStyle w:val="Paperparalevel1"/>
              <w:numPr>
                <w:ilvl w:val="0"/>
                <w:numId w:val="0"/>
              </w:numPr>
              <w:spacing w:after="0"/>
              <w:jc w:val="right"/>
              <w:rPr>
                <w:b w:val="0"/>
              </w:rPr>
            </w:pPr>
            <w:r w:rsidRPr="000B21A5">
              <w:rPr>
                <w:b w:val="0"/>
              </w:rPr>
              <w:t>£</w:t>
            </w:r>
            <w:r>
              <w:rPr>
                <w:b w:val="0"/>
              </w:rPr>
              <w:t>284</w:t>
            </w:r>
          </w:p>
        </w:tc>
        <w:tc>
          <w:tcPr>
            <w:tcW w:w="1247" w:type="dxa"/>
            <w:vAlign w:val="center"/>
          </w:tcPr>
          <w:p w:rsidR="000E50DF" w:rsidRPr="00924459" w:rsidRDefault="000E50DF" w:rsidP="00686B2C">
            <w:pPr>
              <w:pStyle w:val="Paperparalevel1"/>
              <w:numPr>
                <w:ilvl w:val="0"/>
                <w:numId w:val="0"/>
              </w:numPr>
              <w:spacing w:after="0"/>
              <w:jc w:val="right"/>
            </w:pPr>
            <w:r w:rsidRPr="00924459">
              <w:fldChar w:fldCharType="begin"/>
            </w:r>
            <w:r w:rsidRPr="00924459">
              <w:instrText xml:space="preserve"> =SUM(LEFT) \# "£#,##0;(£#,##0)" </w:instrText>
            </w:r>
            <w:r w:rsidRPr="00924459">
              <w:fldChar w:fldCharType="separate"/>
            </w:r>
            <w:r w:rsidRPr="00924459">
              <w:rPr>
                <w:noProof/>
              </w:rPr>
              <w:t>£</w:t>
            </w:r>
            <w:r>
              <w:rPr>
                <w:noProof/>
              </w:rPr>
              <w:t xml:space="preserve"> 558</w:t>
            </w:r>
            <w:r w:rsidRPr="00924459">
              <w:fldChar w:fldCharType="end"/>
            </w:r>
          </w:p>
        </w:tc>
      </w:tr>
    </w:tbl>
    <w:p w:rsidR="007D5A77" w:rsidRDefault="007D5A77" w:rsidP="007D5A77">
      <w:pPr>
        <w:pStyle w:val="Paperparalevel2"/>
        <w:numPr>
          <w:ilvl w:val="0"/>
          <w:numId w:val="0"/>
        </w:numPr>
        <w:ind w:left="567"/>
      </w:pPr>
    </w:p>
    <w:p w:rsidR="00327B37" w:rsidRDefault="00327B37">
      <w:pPr>
        <w:spacing w:after="200" w:line="276" w:lineRule="auto"/>
        <w:rPr>
          <w:b/>
        </w:rPr>
      </w:pPr>
      <w:r>
        <w:br w:type="page"/>
      </w:r>
    </w:p>
    <w:p w:rsidR="00252D89" w:rsidRDefault="00252D89" w:rsidP="00915C47">
      <w:pPr>
        <w:pStyle w:val="Paperparalevel1"/>
        <w:ind w:left="567" w:hanging="567"/>
      </w:pPr>
      <w:r>
        <w:lastRenderedPageBreak/>
        <w:t>Risk Analysis</w:t>
      </w:r>
    </w:p>
    <w:p w:rsidR="00334AEE" w:rsidRDefault="002B4ABC" w:rsidP="00334AEE">
      <w:pPr>
        <w:pStyle w:val="Paperparalevel2"/>
        <w:ind w:left="1134" w:hanging="567"/>
      </w:pPr>
      <w:r>
        <w:t xml:space="preserve">The arrangements set out in this report, and those previously considered by the Board, are designed to minimise the risks.  In particular, these actions are intended to minimise the risk </w:t>
      </w:r>
      <w:r w:rsidR="00AF4BD9">
        <w:t xml:space="preserve">002 </w:t>
      </w:r>
      <w:r>
        <w:t>that “Effective working relationships are not developed/maintained with key partners”.</w:t>
      </w:r>
    </w:p>
    <w:p w:rsidR="00485FB3" w:rsidRDefault="00334AEE" w:rsidP="00485FB3">
      <w:pPr>
        <w:pStyle w:val="Paperparalevel2"/>
        <w:ind w:left="1134" w:hanging="567"/>
      </w:pPr>
      <w:r>
        <w:t xml:space="preserve">The </w:t>
      </w:r>
      <w:r w:rsidR="00485FB3">
        <w:t xml:space="preserve">increase in levels of activity has ensured that the fund is utilised and reduced the risk of </w:t>
      </w:r>
      <w:proofErr w:type="gramStart"/>
      <w:r w:rsidR="00485FB3">
        <w:t>an underspend</w:t>
      </w:r>
      <w:proofErr w:type="gramEnd"/>
      <w:r w:rsidR="00485FB3">
        <w:t>.</w:t>
      </w:r>
    </w:p>
    <w:p w:rsidR="00B1697B" w:rsidRDefault="00B1697B" w:rsidP="00B1697B">
      <w:pPr>
        <w:pStyle w:val="Paperparalevel1"/>
        <w:ind w:left="567" w:hanging="567"/>
      </w:pPr>
      <w:r>
        <w:t>Equalities Implications</w:t>
      </w:r>
    </w:p>
    <w:p w:rsidR="00B1697B" w:rsidRPr="00741A82" w:rsidRDefault="00B1697B" w:rsidP="00B1697B">
      <w:pPr>
        <w:pStyle w:val="Paperparalevel2"/>
        <w:ind w:left="1134" w:hanging="567"/>
      </w:pPr>
      <w:r>
        <w:t>There are n</w:t>
      </w:r>
      <w:r w:rsidRPr="000B5273">
        <w:t xml:space="preserve">o </w:t>
      </w:r>
      <w:r>
        <w:t>equalities</w:t>
      </w:r>
      <w:r w:rsidRPr="000B5273">
        <w:t xml:space="preserve"> implications a</w:t>
      </w:r>
      <w:r>
        <w:t>s a direct result of this report.</w:t>
      </w:r>
    </w:p>
    <w:p w:rsidR="00252D89" w:rsidRPr="003D462C" w:rsidRDefault="00252D89" w:rsidP="00915C47">
      <w:pPr>
        <w:pStyle w:val="Paperparalevel1"/>
        <w:ind w:left="567" w:hanging="567"/>
      </w:pPr>
      <w:r w:rsidRPr="008F1A22">
        <w:t>Legal Implications</w:t>
      </w:r>
    </w:p>
    <w:p w:rsidR="00204485" w:rsidRPr="00481CBD" w:rsidRDefault="00204485" w:rsidP="00915C47">
      <w:pPr>
        <w:pStyle w:val="Paperparalevel2"/>
        <w:ind w:left="1134" w:hanging="567"/>
      </w:pPr>
      <w:r w:rsidRPr="00941E02">
        <w:t>No legal</w:t>
      </w:r>
      <w:r w:rsidRPr="00481CBD">
        <w:t xml:space="preserve"> imp</w:t>
      </w:r>
      <w:r w:rsidR="00E60A8B">
        <w:t xml:space="preserve">lications are identified.  </w:t>
      </w:r>
    </w:p>
    <w:p w:rsidR="00252D89" w:rsidRPr="003D462C" w:rsidRDefault="00E17B77" w:rsidP="00915C47">
      <w:pPr>
        <w:pStyle w:val="Paperparalevel1"/>
        <w:ind w:left="567" w:hanging="567"/>
      </w:pPr>
      <w:r>
        <w:t>Resource</w:t>
      </w:r>
      <w:r w:rsidR="00252D89" w:rsidRPr="008F1A22">
        <w:t xml:space="preserve"> Implications</w:t>
      </w:r>
    </w:p>
    <w:p w:rsidR="00494315" w:rsidRDefault="007931FB" w:rsidP="00915C47">
      <w:pPr>
        <w:pStyle w:val="Paperparalevel2"/>
        <w:ind w:left="1134" w:hanging="567"/>
      </w:pPr>
      <w:r>
        <w:t xml:space="preserve">The financial </w:t>
      </w:r>
      <w:r w:rsidR="00E17B77">
        <w:t xml:space="preserve">implications </w:t>
      </w:r>
      <w:r w:rsidR="00334AEE">
        <w:t>of the Flexible Workforce Fund</w:t>
      </w:r>
      <w:r w:rsidR="00494315">
        <w:t xml:space="preserve"> </w:t>
      </w:r>
      <w:r w:rsidR="00E17B77">
        <w:t xml:space="preserve">are outlined </w:t>
      </w:r>
      <w:r w:rsidR="00494315">
        <w:t>in the report</w:t>
      </w:r>
      <w:r w:rsidR="00E17B77">
        <w:t>.</w:t>
      </w:r>
    </w:p>
    <w:p w:rsidR="0061793F" w:rsidRPr="002B28DD" w:rsidRDefault="00494315" w:rsidP="002B28DD">
      <w:pPr>
        <w:pStyle w:val="Paperparalevel2"/>
        <w:ind w:left="1134" w:hanging="567"/>
      </w:pPr>
      <w:r>
        <w:t xml:space="preserve">The requirement to </w:t>
      </w:r>
      <w:r w:rsidR="00334AEE">
        <w:t xml:space="preserve">actively promote the Fund and </w:t>
      </w:r>
      <w:r>
        <w:t>submit regular monitoring information to SFC has</w:t>
      </w:r>
      <w:r w:rsidR="00334AEE">
        <w:t xml:space="preserve"> a resource implication for the colleges and GCRB</w:t>
      </w:r>
      <w:r>
        <w:t>.  This is a significant additional administrative burden.</w:t>
      </w:r>
    </w:p>
    <w:p w:rsidR="00252D89" w:rsidRPr="000075CD" w:rsidRDefault="00E17B77" w:rsidP="00915C47">
      <w:pPr>
        <w:pStyle w:val="Paperparalevel1"/>
        <w:ind w:left="567" w:hanging="567"/>
      </w:pPr>
      <w:r w:rsidRPr="000075CD">
        <w:t>Strategic Plan</w:t>
      </w:r>
      <w:r w:rsidR="00252D89" w:rsidRPr="000075CD">
        <w:t xml:space="preserve"> Implications</w:t>
      </w:r>
    </w:p>
    <w:p w:rsidR="006944C5" w:rsidRDefault="00986B1A" w:rsidP="00DE2E85">
      <w:pPr>
        <w:pStyle w:val="Paperparalevel2"/>
        <w:ind w:left="1134" w:hanging="567"/>
      </w:pPr>
      <w:r w:rsidRPr="000075CD">
        <w:t>The curriculum delivery</w:t>
      </w:r>
      <w:r w:rsidR="00334AEE">
        <w:t>, supported by these</w:t>
      </w:r>
      <w:r w:rsidRPr="000075CD">
        <w:t xml:space="preserve"> funds</w:t>
      </w:r>
      <w:r w:rsidR="00334AEE">
        <w:t>,</w:t>
      </w:r>
      <w:r w:rsidRPr="000075CD">
        <w:t xml:space="preserve"> will provide </w:t>
      </w:r>
      <w:r w:rsidR="009D0B67" w:rsidRPr="000075CD">
        <w:t xml:space="preserve">significant support </w:t>
      </w:r>
      <w:r w:rsidRPr="000075CD">
        <w:t xml:space="preserve">to </w:t>
      </w:r>
      <w:r w:rsidR="009D0B67" w:rsidRPr="000075CD">
        <w:t>the achievement of</w:t>
      </w:r>
      <w:r w:rsidRPr="000075CD">
        <w:t xml:space="preserve"> ambitions set out in the Glasgow Region Strategic Plan.</w:t>
      </w:r>
      <w:r w:rsidR="00A21EBD">
        <w:t xml:space="preserve">  D</w:t>
      </w:r>
      <w:r w:rsidRPr="000075CD">
        <w:t>eli</w:t>
      </w:r>
      <w:r w:rsidR="00323AA5">
        <w:t>very supported by the Flexible Workforce F</w:t>
      </w:r>
      <w:r w:rsidR="00334AEE">
        <w:t>und</w:t>
      </w:r>
      <w:r w:rsidRPr="000075CD">
        <w:t xml:space="preserve"> make</w:t>
      </w:r>
      <w:r w:rsidR="00334AEE">
        <w:t>s</w:t>
      </w:r>
      <w:r w:rsidRPr="000075CD">
        <w:t xml:space="preserve"> a significant contribution to meeting the aim of meeting Glasgow’s ambitions working with employers to deliver a range and depth of training opportunities.</w:t>
      </w:r>
    </w:p>
    <w:sectPr w:rsidR="006944C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CE" w:rsidRDefault="00B541CE" w:rsidP="00D20D69">
      <w:r>
        <w:separator/>
      </w:r>
    </w:p>
  </w:endnote>
  <w:endnote w:type="continuationSeparator" w:id="0">
    <w:p w:rsidR="00B541CE" w:rsidRDefault="00B541CE"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78328"/>
      <w:docPartObj>
        <w:docPartGallery w:val="Page Numbers (Bottom of Page)"/>
        <w:docPartUnique/>
      </w:docPartObj>
    </w:sdtPr>
    <w:sdtEndPr>
      <w:rPr>
        <w:noProof/>
        <w:sz w:val="20"/>
        <w:szCs w:val="20"/>
      </w:rPr>
    </w:sdtEndPr>
    <w:sdtContent>
      <w:p w:rsidR="00D20D69" w:rsidRDefault="00D20D69" w:rsidP="00D20D69">
        <w:pPr>
          <w:pStyle w:val="Footer"/>
          <w:jc w:val="cente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8B09BF">
          <w:rPr>
            <w:noProof/>
            <w:sz w:val="20"/>
            <w:szCs w:val="20"/>
          </w:rPr>
          <w:t>1</w:t>
        </w:r>
        <w:r w:rsidRPr="00C95CD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CE" w:rsidRDefault="00B541CE" w:rsidP="00D20D69">
      <w:r>
        <w:separator/>
      </w:r>
    </w:p>
  </w:footnote>
  <w:footnote w:type="continuationSeparator" w:id="0">
    <w:p w:rsidR="00B541CE" w:rsidRDefault="00B541CE" w:rsidP="00D20D69">
      <w:r>
        <w:continuationSeparator/>
      </w:r>
    </w:p>
  </w:footnote>
  <w:footnote w:id="1">
    <w:p w:rsidR="008B16AB" w:rsidRDefault="008B16AB">
      <w:pPr>
        <w:pStyle w:val="FootnoteText"/>
      </w:pPr>
      <w:r>
        <w:rPr>
          <w:rStyle w:val="FootnoteReference"/>
        </w:rPr>
        <w:footnoteRef/>
      </w:r>
      <w:r>
        <w:t xml:space="preserve"> SFC wrote to the Interim Executive Director on 6 November 2019 confirming that the value of this activity was £734,276. In addition, a further amount of £61,000 had previously been received to make a total value of £796,276.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D46"/>
    <w:multiLevelType w:val="hybridMultilevel"/>
    <w:tmpl w:val="691854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32A19CC"/>
    <w:multiLevelType w:val="hybridMultilevel"/>
    <w:tmpl w:val="B5AE5C4A"/>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
    <w:nsid w:val="1C842789"/>
    <w:multiLevelType w:val="hybridMultilevel"/>
    <w:tmpl w:val="DEF27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A144032"/>
    <w:multiLevelType w:val="multilevel"/>
    <w:tmpl w:val="E7B82CB0"/>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AE1014A"/>
    <w:multiLevelType w:val="multilevel"/>
    <w:tmpl w:val="69D8FF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numFmt w:val="bullet"/>
      <w:lvlText w:val=""/>
      <w:lvlJc w:val="left"/>
      <w:pPr>
        <w:ind w:left="1080" w:hanging="720"/>
      </w:pPr>
      <w:rPr>
        <w:rFonts w:ascii="Symbol" w:eastAsiaTheme="minorHAnsi" w:hAnsi="Symbol" w:cstheme="minorBid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6">
    <w:nsid w:val="435F5679"/>
    <w:multiLevelType w:val="hybridMultilevel"/>
    <w:tmpl w:val="6AB870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E1127B4"/>
    <w:multiLevelType w:val="hybridMultilevel"/>
    <w:tmpl w:val="7E0CFA00"/>
    <w:lvl w:ilvl="0" w:tplc="0C8246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CF251B"/>
    <w:multiLevelType w:val="multilevel"/>
    <w:tmpl w:val="82FECA5C"/>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66341AFF"/>
    <w:multiLevelType w:val="multilevel"/>
    <w:tmpl w:val="C3AC2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79F741AE"/>
    <w:multiLevelType w:val="multilevel"/>
    <w:tmpl w:val="C4741D2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79FC0BFA"/>
    <w:multiLevelType w:val="hybridMultilevel"/>
    <w:tmpl w:val="62B8C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12"/>
  </w:num>
  <w:num w:numId="2">
    <w:abstractNumId w:val="5"/>
  </w:num>
  <w:num w:numId="3">
    <w:abstractNumId w:val="8"/>
  </w:num>
  <w:num w:numId="4">
    <w:abstractNumId w:val="10"/>
  </w:num>
  <w:num w:numId="5">
    <w:abstractNumId w:val="1"/>
  </w:num>
  <w:num w:numId="6">
    <w:abstractNumId w:val="8"/>
  </w:num>
  <w:num w:numId="7">
    <w:abstractNumId w:val="8"/>
  </w:num>
  <w:num w:numId="8">
    <w:abstractNumId w:val="8"/>
  </w:num>
  <w:num w:numId="9">
    <w:abstractNumId w:val="8"/>
  </w:num>
  <w:num w:numId="10">
    <w:abstractNumId w:val="8"/>
  </w:num>
  <w:num w:numId="11">
    <w:abstractNumId w:val="11"/>
  </w:num>
  <w:num w:numId="12">
    <w:abstractNumId w:val="2"/>
  </w:num>
  <w:num w:numId="13">
    <w:abstractNumId w:val="3"/>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6"/>
  </w:num>
  <w:num w:numId="23">
    <w:abstractNumId w:val="7"/>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4"/>
  </w:num>
  <w:num w:numId="41">
    <w:abstractNumId w:val="9"/>
  </w:num>
  <w:num w:numId="42">
    <w:abstractNumId w:val="8"/>
  </w:num>
  <w:num w:numId="43">
    <w:abstractNumId w:val="8"/>
  </w:num>
  <w:num w:numId="44">
    <w:abstractNumId w:val="8"/>
  </w:num>
  <w:num w:numId="45">
    <w:abstractNumId w:val="8"/>
  </w:num>
  <w:num w:numId="46">
    <w:abstractNumId w:val="0"/>
  </w:num>
  <w:num w:numId="47">
    <w:abstractNumId w:val="8"/>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00CDC"/>
    <w:rsid w:val="00003579"/>
    <w:rsid w:val="000075CD"/>
    <w:rsid w:val="00010BF4"/>
    <w:rsid w:val="00021B1E"/>
    <w:rsid w:val="0003574F"/>
    <w:rsid w:val="00040E40"/>
    <w:rsid w:val="00056CA1"/>
    <w:rsid w:val="00075E01"/>
    <w:rsid w:val="0007786D"/>
    <w:rsid w:val="00077DB7"/>
    <w:rsid w:val="000823BC"/>
    <w:rsid w:val="00083265"/>
    <w:rsid w:val="00093F66"/>
    <w:rsid w:val="000A316A"/>
    <w:rsid w:val="000A74C8"/>
    <w:rsid w:val="000B2412"/>
    <w:rsid w:val="000B7F73"/>
    <w:rsid w:val="000E50DF"/>
    <w:rsid w:val="000E6386"/>
    <w:rsid w:val="000F2B53"/>
    <w:rsid w:val="00104C57"/>
    <w:rsid w:val="00106E06"/>
    <w:rsid w:val="00111636"/>
    <w:rsid w:val="00111E02"/>
    <w:rsid w:val="001252F1"/>
    <w:rsid w:val="0017645A"/>
    <w:rsid w:val="00183EB4"/>
    <w:rsid w:val="00193DAE"/>
    <w:rsid w:val="00197F1D"/>
    <w:rsid w:val="001A6254"/>
    <w:rsid w:val="001F1F63"/>
    <w:rsid w:val="00204485"/>
    <w:rsid w:val="00210EA4"/>
    <w:rsid w:val="00211DD8"/>
    <w:rsid w:val="0022485A"/>
    <w:rsid w:val="00252D89"/>
    <w:rsid w:val="0028440A"/>
    <w:rsid w:val="002B28DD"/>
    <w:rsid w:val="002B4ABC"/>
    <w:rsid w:val="002C3ED7"/>
    <w:rsid w:val="002E5F93"/>
    <w:rsid w:val="002F1069"/>
    <w:rsid w:val="003070E9"/>
    <w:rsid w:val="00323AA5"/>
    <w:rsid w:val="00327B37"/>
    <w:rsid w:val="0033399E"/>
    <w:rsid w:val="00334AEE"/>
    <w:rsid w:val="00344FFC"/>
    <w:rsid w:val="00352A49"/>
    <w:rsid w:val="003571DD"/>
    <w:rsid w:val="00360923"/>
    <w:rsid w:val="00361AB9"/>
    <w:rsid w:val="00365F13"/>
    <w:rsid w:val="00366892"/>
    <w:rsid w:val="0038087B"/>
    <w:rsid w:val="003832FC"/>
    <w:rsid w:val="003834FF"/>
    <w:rsid w:val="00395D83"/>
    <w:rsid w:val="00397268"/>
    <w:rsid w:val="003B7CC3"/>
    <w:rsid w:val="003B7E8E"/>
    <w:rsid w:val="003D6059"/>
    <w:rsid w:val="003F002A"/>
    <w:rsid w:val="003F6AF2"/>
    <w:rsid w:val="0040048C"/>
    <w:rsid w:val="0048452D"/>
    <w:rsid w:val="00485FB3"/>
    <w:rsid w:val="00494315"/>
    <w:rsid w:val="004A7536"/>
    <w:rsid w:val="004B5B17"/>
    <w:rsid w:val="004C5331"/>
    <w:rsid w:val="004D65EE"/>
    <w:rsid w:val="004D723E"/>
    <w:rsid w:val="004E094D"/>
    <w:rsid w:val="004F6BA6"/>
    <w:rsid w:val="0052496E"/>
    <w:rsid w:val="00544DC8"/>
    <w:rsid w:val="00557461"/>
    <w:rsid w:val="00581734"/>
    <w:rsid w:val="00594FF5"/>
    <w:rsid w:val="005952D0"/>
    <w:rsid w:val="005A3C0C"/>
    <w:rsid w:val="005D0615"/>
    <w:rsid w:val="00606918"/>
    <w:rsid w:val="0061793F"/>
    <w:rsid w:val="006259E2"/>
    <w:rsid w:val="00642BD1"/>
    <w:rsid w:val="00644162"/>
    <w:rsid w:val="006944C5"/>
    <w:rsid w:val="006B3A95"/>
    <w:rsid w:val="006C2806"/>
    <w:rsid w:val="006C5B4A"/>
    <w:rsid w:val="006F40EC"/>
    <w:rsid w:val="007251B8"/>
    <w:rsid w:val="0073094C"/>
    <w:rsid w:val="00736A4F"/>
    <w:rsid w:val="0074640E"/>
    <w:rsid w:val="007534EC"/>
    <w:rsid w:val="0076666A"/>
    <w:rsid w:val="00772A72"/>
    <w:rsid w:val="007876ED"/>
    <w:rsid w:val="007931FB"/>
    <w:rsid w:val="0079648A"/>
    <w:rsid w:val="007A413B"/>
    <w:rsid w:val="007A5DF0"/>
    <w:rsid w:val="007C7F48"/>
    <w:rsid w:val="007D5A77"/>
    <w:rsid w:val="007D62B5"/>
    <w:rsid w:val="007D6476"/>
    <w:rsid w:val="007E1F7F"/>
    <w:rsid w:val="007E39A7"/>
    <w:rsid w:val="007F2B77"/>
    <w:rsid w:val="007F3164"/>
    <w:rsid w:val="007F673B"/>
    <w:rsid w:val="007F6FDA"/>
    <w:rsid w:val="00815F48"/>
    <w:rsid w:val="00820648"/>
    <w:rsid w:val="00865741"/>
    <w:rsid w:val="008722EA"/>
    <w:rsid w:val="00877E43"/>
    <w:rsid w:val="00883CF3"/>
    <w:rsid w:val="00890495"/>
    <w:rsid w:val="008918D0"/>
    <w:rsid w:val="008928DF"/>
    <w:rsid w:val="008B09BF"/>
    <w:rsid w:val="008B16AB"/>
    <w:rsid w:val="008B38BE"/>
    <w:rsid w:val="008D113C"/>
    <w:rsid w:val="008E18E3"/>
    <w:rsid w:val="008F205D"/>
    <w:rsid w:val="00905901"/>
    <w:rsid w:val="009154A9"/>
    <w:rsid w:val="00915C47"/>
    <w:rsid w:val="009306BD"/>
    <w:rsid w:val="00954DD4"/>
    <w:rsid w:val="0095523D"/>
    <w:rsid w:val="00956CD6"/>
    <w:rsid w:val="0096317E"/>
    <w:rsid w:val="0096777D"/>
    <w:rsid w:val="00986B1A"/>
    <w:rsid w:val="00991278"/>
    <w:rsid w:val="009A4D18"/>
    <w:rsid w:val="009C2CE0"/>
    <w:rsid w:val="009D0B67"/>
    <w:rsid w:val="009E5F59"/>
    <w:rsid w:val="009F7761"/>
    <w:rsid w:val="00A21EBD"/>
    <w:rsid w:val="00A246A4"/>
    <w:rsid w:val="00A258D6"/>
    <w:rsid w:val="00A26348"/>
    <w:rsid w:val="00A32E2F"/>
    <w:rsid w:val="00A33F2A"/>
    <w:rsid w:val="00A37298"/>
    <w:rsid w:val="00A41BAB"/>
    <w:rsid w:val="00A66B88"/>
    <w:rsid w:val="00A86C69"/>
    <w:rsid w:val="00AA7203"/>
    <w:rsid w:val="00AB4634"/>
    <w:rsid w:val="00AB7E03"/>
    <w:rsid w:val="00AD4C3F"/>
    <w:rsid w:val="00AE0A70"/>
    <w:rsid w:val="00AE3BA7"/>
    <w:rsid w:val="00AE3D1A"/>
    <w:rsid w:val="00AE4D42"/>
    <w:rsid w:val="00AF4BD9"/>
    <w:rsid w:val="00B05FBF"/>
    <w:rsid w:val="00B15041"/>
    <w:rsid w:val="00B1697B"/>
    <w:rsid w:val="00B325B3"/>
    <w:rsid w:val="00B40792"/>
    <w:rsid w:val="00B541CE"/>
    <w:rsid w:val="00B57F64"/>
    <w:rsid w:val="00B74903"/>
    <w:rsid w:val="00B77E0F"/>
    <w:rsid w:val="00B824C5"/>
    <w:rsid w:val="00B83522"/>
    <w:rsid w:val="00B93ED9"/>
    <w:rsid w:val="00BA2FC5"/>
    <w:rsid w:val="00BA75D2"/>
    <w:rsid w:val="00BE10FC"/>
    <w:rsid w:val="00BE1A03"/>
    <w:rsid w:val="00C007E7"/>
    <w:rsid w:val="00C435DC"/>
    <w:rsid w:val="00C574CC"/>
    <w:rsid w:val="00CA5C4E"/>
    <w:rsid w:val="00CB40A3"/>
    <w:rsid w:val="00CC1743"/>
    <w:rsid w:val="00CD25CE"/>
    <w:rsid w:val="00CD4D35"/>
    <w:rsid w:val="00CD4E98"/>
    <w:rsid w:val="00D01A3B"/>
    <w:rsid w:val="00D04BAC"/>
    <w:rsid w:val="00D1043F"/>
    <w:rsid w:val="00D20D69"/>
    <w:rsid w:val="00D6294A"/>
    <w:rsid w:val="00D70947"/>
    <w:rsid w:val="00D842D2"/>
    <w:rsid w:val="00D86985"/>
    <w:rsid w:val="00DB01B2"/>
    <w:rsid w:val="00DB21EA"/>
    <w:rsid w:val="00DD036D"/>
    <w:rsid w:val="00DD33DE"/>
    <w:rsid w:val="00DD48C1"/>
    <w:rsid w:val="00DE2E85"/>
    <w:rsid w:val="00DE399A"/>
    <w:rsid w:val="00E17B77"/>
    <w:rsid w:val="00E248EC"/>
    <w:rsid w:val="00E27D05"/>
    <w:rsid w:val="00E30F00"/>
    <w:rsid w:val="00E50762"/>
    <w:rsid w:val="00E51348"/>
    <w:rsid w:val="00E60A8B"/>
    <w:rsid w:val="00E73620"/>
    <w:rsid w:val="00E8111F"/>
    <w:rsid w:val="00E93341"/>
    <w:rsid w:val="00EB766F"/>
    <w:rsid w:val="00EC36E6"/>
    <w:rsid w:val="00F01137"/>
    <w:rsid w:val="00F05316"/>
    <w:rsid w:val="00F06E9B"/>
    <w:rsid w:val="00F22D5F"/>
    <w:rsid w:val="00F2430B"/>
    <w:rsid w:val="00F34EDB"/>
    <w:rsid w:val="00F373AB"/>
    <w:rsid w:val="00F412D3"/>
    <w:rsid w:val="00F6008E"/>
    <w:rsid w:val="00F72FB0"/>
    <w:rsid w:val="00F82955"/>
    <w:rsid w:val="00F835ED"/>
    <w:rsid w:val="00FA7CC9"/>
    <w:rsid w:val="00FB7C53"/>
    <w:rsid w:val="00FC76D0"/>
    <w:rsid w:val="00FD276D"/>
    <w:rsid w:val="00FD501B"/>
    <w:rsid w:val="00FE2E8E"/>
    <w:rsid w:val="00FE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3"/>
      </w:numPr>
      <w:spacing w:after="240"/>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paragraph" w:styleId="FootnoteText">
    <w:name w:val="footnote text"/>
    <w:basedOn w:val="Normal"/>
    <w:link w:val="FootnoteTextChar"/>
    <w:uiPriority w:val="99"/>
    <w:semiHidden/>
    <w:unhideWhenUsed/>
    <w:rsid w:val="00544DC8"/>
    <w:rPr>
      <w:sz w:val="20"/>
      <w:szCs w:val="20"/>
    </w:rPr>
  </w:style>
  <w:style w:type="character" w:customStyle="1" w:styleId="FootnoteTextChar">
    <w:name w:val="Footnote Text Char"/>
    <w:basedOn w:val="DefaultParagraphFont"/>
    <w:link w:val="FootnoteText"/>
    <w:uiPriority w:val="99"/>
    <w:semiHidden/>
    <w:rsid w:val="00544DC8"/>
    <w:rPr>
      <w:sz w:val="20"/>
      <w:szCs w:val="20"/>
    </w:rPr>
  </w:style>
  <w:style w:type="character" w:styleId="FootnoteReference">
    <w:name w:val="footnote reference"/>
    <w:basedOn w:val="DefaultParagraphFont"/>
    <w:uiPriority w:val="99"/>
    <w:semiHidden/>
    <w:unhideWhenUsed/>
    <w:rsid w:val="00544DC8"/>
    <w:rPr>
      <w:vertAlign w:val="superscript"/>
    </w:rPr>
  </w:style>
  <w:style w:type="character" w:styleId="Hyperlink">
    <w:name w:val="Hyperlink"/>
    <w:basedOn w:val="DefaultParagraphFont"/>
    <w:uiPriority w:val="99"/>
    <w:unhideWhenUsed/>
    <w:rsid w:val="007876ED"/>
    <w:rPr>
      <w:color w:val="0000FF" w:themeColor="hyperlink"/>
      <w:u w:val="single"/>
    </w:rPr>
  </w:style>
  <w:style w:type="table" w:styleId="TableGrid">
    <w:name w:val="Table Grid"/>
    <w:basedOn w:val="TableNormal"/>
    <w:uiPriority w:val="59"/>
    <w:rsid w:val="00CD4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4D35"/>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6C5B4A"/>
    <w:rPr>
      <w:rFonts w:ascii="Arial" w:hAnsi="Arial" w:cs="Arial"/>
      <w:sz w:val="24"/>
      <w:szCs w:val="24"/>
    </w:rPr>
  </w:style>
  <w:style w:type="character" w:customStyle="1" w:styleId="PlainTextChar">
    <w:name w:val="Plain Text Char"/>
    <w:basedOn w:val="DefaultParagraphFont"/>
    <w:link w:val="PlainText"/>
    <w:uiPriority w:val="99"/>
    <w:semiHidden/>
    <w:rsid w:val="006C5B4A"/>
    <w:rPr>
      <w:rFonts w:ascii="Arial" w:hAnsi="Arial" w:cs="Arial"/>
      <w:sz w:val="24"/>
      <w:szCs w:val="24"/>
    </w:rPr>
  </w:style>
  <w:style w:type="paragraph" w:customStyle="1" w:styleId="xmsonormal">
    <w:name w:val="x_msonormal"/>
    <w:basedOn w:val="Normal"/>
    <w:rsid w:val="003571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3571DD"/>
  </w:style>
  <w:style w:type="character" w:styleId="FollowedHyperlink">
    <w:name w:val="FollowedHyperlink"/>
    <w:basedOn w:val="DefaultParagraphFont"/>
    <w:uiPriority w:val="99"/>
    <w:semiHidden/>
    <w:unhideWhenUsed/>
    <w:rsid w:val="003609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3"/>
      </w:numPr>
      <w:spacing w:after="240"/>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paragraph" w:styleId="FootnoteText">
    <w:name w:val="footnote text"/>
    <w:basedOn w:val="Normal"/>
    <w:link w:val="FootnoteTextChar"/>
    <w:uiPriority w:val="99"/>
    <w:semiHidden/>
    <w:unhideWhenUsed/>
    <w:rsid w:val="00544DC8"/>
    <w:rPr>
      <w:sz w:val="20"/>
      <w:szCs w:val="20"/>
    </w:rPr>
  </w:style>
  <w:style w:type="character" w:customStyle="1" w:styleId="FootnoteTextChar">
    <w:name w:val="Footnote Text Char"/>
    <w:basedOn w:val="DefaultParagraphFont"/>
    <w:link w:val="FootnoteText"/>
    <w:uiPriority w:val="99"/>
    <w:semiHidden/>
    <w:rsid w:val="00544DC8"/>
    <w:rPr>
      <w:sz w:val="20"/>
      <w:szCs w:val="20"/>
    </w:rPr>
  </w:style>
  <w:style w:type="character" w:styleId="FootnoteReference">
    <w:name w:val="footnote reference"/>
    <w:basedOn w:val="DefaultParagraphFont"/>
    <w:uiPriority w:val="99"/>
    <w:semiHidden/>
    <w:unhideWhenUsed/>
    <w:rsid w:val="00544DC8"/>
    <w:rPr>
      <w:vertAlign w:val="superscript"/>
    </w:rPr>
  </w:style>
  <w:style w:type="character" w:styleId="Hyperlink">
    <w:name w:val="Hyperlink"/>
    <w:basedOn w:val="DefaultParagraphFont"/>
    <w:uiPriority w:val="99"/>
    <w:unhideWhenUsed/>
    <w:rsid w:val="007876ED"/>
    <w:rPr>
      <w:color w:val="0000FF" w:themeColor="hyperlink"/>
      <w:u w:val="single"/>
    </w:rPr>
  </w:style>
  <w:style w:type="table" w:styleId="TableGrid">
    <w:name w:val="Table Grid"/>
    <w:basedOn w:val="TableNormal"/>
    <w:uiPriority w:val="59"/>
    <w:rsid w:val="00CD4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4D35"/>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6C5B4A"/>
    <w:rPr>
      <w:rFonts w:ascii="Arial" w:hAnsi="Arial" w:cs="Arial"/>
      <w:sz w:val="24"/>
      <w:szCs w:val="24"/>
    </w:rPr>
  </w:style>
  <w:style w:type="character" w:customStyle="1" w:styleId="PlainTextChar">
    <w:name w:val="Plain Text Char"/>
    <w:basedOn w:val="DefaultParagraphFont"/>
    <w:link w:val="PlainText"/>
    <w:uiPriority w:val="99"/>
    <w:semiHidden/>
    <w:rsid w:val="006C5B4A"/>
    <w:rPr>
      <w:rFonts w:ascii="Arial" w:hAnsi="Arial" w:cs="Arial"/>
      <w:sz w:val="24"/>
      <w:szCs w:val="24"/>
    </w:rPr>
  </w:style>
  <w:style w:type="paragraph" w:customStyle="1" w:styleId="xmsonormal">
    <w:name w:val="x_msonormal"/>
    <w:basedOn w:val="Normal"/>
    <w:rsid w:val="003571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3571DD"/>
  </w:style>
  <w:style w:type="character" w:styleId="FollowedHyperlink">
    <w:name w:val="FollowedHyperlink"/>
    <w:basedOn w:val="DefaultParagraphFont"/>
    <w:uiPriority w:val="99"/>
    <w:semiHidden/>
    <w:unhideWhenUsed/>
    <w:rsid w:val="00360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788">
      <w:bodyDiv w:val="1"/>
      <w:marLeft w:val="0"/>
      <w:marRight w:val="0"/>
      <w:marTop w:val="0"/>
      <w:marBottom w:val="0"/>
      <w:divBdr>
        <w:top w:val="none" w:sz="0" w:space="0" w:color="auto"/>
        <w:left w:val="none" w:sz="0" w:space="0" w:color="auto"/>
        <w:bottom w:val="none" w:sz="0" w:space="0" w:color="auto"/>
        <w:right w:val="none" w:sz="0" w:space="0" w:color="auto"/>
      </w:divBdr>
    </w:div>
    <w:div w:id="147718514">
      <w:bodyDiv w:val="1"/>
      <w:marLeft w:val="0"/>
      <w:marRight w:val="0"/>
      <w:marTop w:val="0"/>
      <w:marBottom w:val="0"/>
      <w:divBdr>
        <w:top w:val="none" w:sz="0" w:space="0" w:color="auto"/>
        <w:left w:val="none" w:sz="0" w:space="0" w:color="auto"/>
        <w:bottom w:val="none" w:sz="0" w:space="0" w:color="auto"/>
        <w:right w:val="none" w:sz="0" w:space="0" w:color="auto"/>
      </w:divBdr>
    </w:div>
    <w:div w:id="459349831">
      <w:bodyDiv w:val="1"/>
      <w:marLeft w:val="0"/>
      <w:marRight w:val="0"/>
      <w:marTop w:val="0"/>
      <w:marBottom w:val="0"/>
      <w:divBdr>
        <w:top w:val="none" w:sz="0" w:space="0" w:color="auto"/>
        <w:left w:val="none" w:sz="0" w:space="0" w:color="auto"/>
        <w:bottom w:val="none" w:sz="0" w:space="0" w:color="auto"/>
        <w:right w:val="none" w:sz="0" w:space="0" w:color="auto"/>
      </w:divBdr>
    </w:div>
    <w:div w:id="508107600">
      <w:bodyDiv w:val="1"/>
      <w:marLeft w:val="0"/>
      <w:marRight w:val="0"/>
      <w:marTop w:val="0"/>
      <w:marBottom w:val="0"/>
      <w:divBdr>
        <w:top w:val="none" w:sz="0" w:space="0" w:color="auto"/>
        <w:left w:val="none" w:sz="0" w:space="0" w:color="auto"/>
        <w:bottom w:val="none" w:sz="0" w:space="0" w:color="auto"/>
        <w:right w:val="none" w:sz="0" w:space="0" w:color="auto"/>
      </w:divBdr>
    </w:div>
    <w:div w:id="539365141">
      <w:bodyDiv w:val="1"/>
      <w:marLeft w:val="0"/>
      <w:marRight w:val="0"/>
      <w:marTop w:val="0"/>
      <w:marBottom w:val="0"/>
      <w:divBdr>
        <w:top w:val="none" w:sz="0" w:space="0" w:color="auto"/>
        <w:left w:val="none" w:sz="0" w:space="0" w:color="auto"/>
        <w:bottom w:val="none" w:sz="0" w:space="0" w:color="auto"/>
        <w:right w:val="none" w:sz="0" w:space="0" w:color="auto"/>
      </w:divBdr>
    </w:div>
    <w:div w:id="577596808">
      <w:bodyDiv w:val="1"/>
      <w:marLeft w:val="0"/>
      <w:marRight w:val="0"/>
      <w:marTop w:val="0"/>
      <w:marBottom w:val="0"/>
      <w:divBdr>
        <w:top w:val="none" w:sz="0" w:space="0" w:color="auto"/>
        <w:left w:val="none" w:sz="0" w:space="0" w:color="auto"/>
        <w:bottom w:val="none" w:sz="0" w:space="0" w:color="auto"/>
        <w:right w:val="none" w:sz="0" w:space="0" w:color="auto"/>
      </w:divBdr>
    </w:div>
    <w:div w:id="618299306">
      <w:bodyDiv w:val="1"/>
      <w:marLeft w:val="0"/>
      <w:marRight w:val="0"/>
      <w:marTop w:val="0"/>
      <w:marBottom w:val="0"/>
      <w:divBdr>
        <w:top w:val="none" w:sz="0" w:space="0" w:color="auto"/>
        <w:left w:val="none" w:sz="0" w:space="0" w:color="auto"/>
        <w:bottom w:val="none" w:sz="0" w:space="0" w:color="auto"/>
        <w:right w:val="none" w:sz="0" w:space="0" w:color="auto"/>
      </w:divBdr>
    </w:div>
    <w:div w:id="642197234">
      <w:bodyDiv w:val="1"/>
      <w:marLeft w:val="0"/>
      <w:marRight w:val="0"/>
      <w:marTop w:val="0"/>
      <w:marBottom w:val="0"/>
      <w:divBdr>
        <w:top w:val="none" w:sz="0" w:space="0" w:color="auto"/>
        <w:left w:val="none" w:sz="0" w:space="0" w:color="auto"/>
        <w:bottom w:val="none" w:sz="0" w:space="0" w:color="auto"/>
        <w:right w:val="none" w:sz="0" w:space="0" w:color="auto"/>
      </w:divBdr>
    </w:div>
    <w:div w:id="650597276">
      <w:bodyDiv w:val="1"/>
      <w:marLeft w:val="0"/>
      <w:marRight w:val="0"/>
      <w:marTop w:val="0"/>
      <w:marBottom w:val="0"/>
      <w:divBdr>
        <w:top w:val="none" w:sz="0" w:space="0" w:color="auto"/>
        <w:left w:val="none" w:sz="0" w:space="0" w:color="auto"/>
        <w:bottom w:val="none" w:sz="0" w:space="0" w:color="auto"/>
        <w:right w:val="none" w:sz="0" w:space="0" w:color="auto"/>
      </w:divBdr>
    </w:div>
    <w:div w:id="780415221">
      <w:bodyDiv w:val="1"/>
      <w:marLeft w:val="0"/>
      <w:marRight w:val="0"/>
      <w:marTop w:val="0"/>
      <w:marBottom w:val="0"/>
      <w:divBdr>
        <w:top w:val="none" w:sz="0" w:space="0" w:color="auto"/>
        <w:left w:val="none" w:sz="0" w:space="0" w:color="auto"/>
        <w:bottom w:val="none" w:sz="0" w:space="0" w:color="auto"/>
        <w:right w:val="none" w:sz="0" w:space="0" w:color="auto"/>
      </w:divBdr>
    </w:div>
    <w:div w:id="954486384">
      <w:bodyDiv w:val="1"/>
      <w:marLeft w:val="0"/>
      <w:marRight w:val="0"/>
      <w:marTop w:val="0"/>
      <w:marBottom w:val="0"/>
      <w:divBdr>
        <w:top w:val="none" w:sz="0" w:space="0" w:color="auto"/>
        <w:left w:val="none" w:sz="0" w:space="0" w:color="auto"/>
        <w:bottom w:val="none" w:sz="0" w:space="0" w:color="auto"/>
        <w:right w:val="none" w:sz="0" w:space="0" w:color="auto"/>
      </w:divBdr>
      <w:divsChild>
        <w:div w:id="918097951">
          <w:marLeft w:val="0"/>
          <w:marRight w:val="0"/>
          <w:marTop w:val="0"/>
          <w:marBottom w:val="0"/>
          <w:divBdr>
            <w:top w:val="none" w:sz="0" w:space="0" w:color="auto"/>
            <w:left w:val="none" w:sz="0" w:space="0" w:color="auto"/>
            <w:bottom w:val="none" w:sz="0" w:space="0" w:color="auto"/>
            <w:right w:val="none" w:sz="0" w:space="0" w:color="auto"/>
          </w:divBdr>
        </w:div>
        <w:div w:id="2558581">
          <w:marLeft w:val="0"/>
          <w:marRight w:val="0"/>
          <w:marTop w:val="0"/>
          <w:marBottom w:val="0"/>
          <w:divBdr>
            <w:top w:val="none" w:sz="0" w:space="0" w:color="auto"/>
            <w:left w:val="none" w:sz="0" w:space="0" w:color="auto"/>
            <w:bottom w:val="none" w:sz="0" w:space="0" w:color="auto"/>
            <w:right w:val="none" w:sz="0" w:space="0" w:color="auto"/>
          </w:divBdr>
        </w:div>
        <w:div w:id="610279843">
          <w:marLeft w:val="0"/>
          <w:marRight w:val="0"/>
          <w:marTop w:val="0"/>
          <w:marBottom w:val="0"/>
          <w:divBdr>
            <w:top w:val="none" w:sz="0" w:space="0" w:color="auto"/>
            <w:left w:val="none" w:sz="0" w:space="0" w:color="auto"/>
            <w:bottom w:val="none" w:sz="0" w:space="0" w:color="auto"/>
            <w:right w:val="none" w:sz="0" w:space="0" w:color="auto"/>
          </w:divBdr>
        </w:div>
        <w:div w:id="1876308044">
          <w:marLeft w:val="0"/>
          <w:marRight w:val="0"/>
          <w:marTop w:val="0"/>
          <w:marBottom w:val="0"/>
          <w:divBdr>
            <w:top w:val="none" w:sz="0" w:space="0" w:color="auto"/>
            <w:left w:val="none" w:sz="0" w:space="0" w:color="auto"/>
            <w:bottom w:val="none" w:sz="0" w:space="0" w:color="auto"/>
            <w:right w:val="none" w:sz="0" w:space="0" w:color="auto"/>
          </w:divBdr>
        </w:div>
        <w:div w:id="1730032438">
          <w:marLeft w:val="0"/>
          <w:marRight w:val="0"/>
          <w:marTop w:val="0"/>
          <w:marBottom w:val="0"/>
          <w:divBdr>
            <w:top w:val="none" w:sz="0" w:space="0" w:color="auto"/>
            <w:left w:val="none" w:sz="0" w:space="0" w:color="auto"/>
            <w:bottom w:val="none" w:sz="0" w:space="0" w:color="auto"/>
            <w:right w:val="none" w:sz="0" w:space="0" w:color="auto"/>
          </w:divBdr>
        </w:div>
        <w:div w:id="760568414">
          <w:marLeft w:val="0"/>
          <w:marRight w:val="0"/>
          <w:marTop w:val="0"/>
          <w:marBottom w:val="0"/>
          <w:divBdr>
            <w:top w:val="none" w:sz="0" w:space="0" w:color="auto"/>
            <w:left w:val="none" w:sz="0" w:space="0" w:color="auto"/>
            <w:bottom w:val="none" w:sz="0" w:space="0" w:color="auto"/>
            <w:right w:val="none" w:sz="0" w:space="0" w:color="auto"/>
          </w:divBdr>
        </w:div>
        <w:div w:id="1948536573">
          <w:marLeft w:val="0"/>
          <w:marRight w:val="0"/>
          <w:marTop w:val="0"/>
          <w:marBottom w:val="0"/>
          <w:divBdr>
            <w:top w:val="none" w:sz="0" w:space="0" w:color="auto"/>
            <w:left w:val="none" w:sz="0" w:space="0" w:color="auto"/>
            <w:bottom w:val="none" w:sz="0" w:space="0" w:color="auto"/>
            <w:right w:val="none" w:sz="0" w:space="0" w:color="auto"/>
          </w:divBdr>
        </w:div>
        <w:div w:id="1392801613">
          <w:marLeft w:val="0"/>
          <w:marRight w:val="0"/>
          <w:marTop w:val="0"/>
          <w:marBottom w:val="0"/>
          <w:divBdr>
            <w:top w:val="none" w:sz="0" w:space="0" w:color="auto"/>
            <w:left w:val="none" w:sz="0" w:space="0" w:color="auto"/>
            <w:bottom w:val="none" w:sz="0" w:space="0" w:color="auto"/>
            <w:right w:val="none" w:sz="0" w:space="0" w:color="auto"/>
          </w:divBdr>
        </w:div>
        <w:div w:id="1956329434">
          <w:marLeft w:val="0"/>
          <w:marRight w:val="0"/>
          <w:marTop w:val="0"/>
          <w:marBottom w:val="0"/>
          <w:divBdr>
            <w:top w:val="none" w:sz="0" w:space="0" w:color="auto"/>
            <w:left w:val="none" w:sz="0" w:space="0" w:color="auto"/>
            <w:bottom w:val="none" w:sz="0" w:space="0" w:color="auto"/>
            <w:right w:val="none" w:sz="0" w:space="0" w:color="auto"/>
          </w:divBdr>
        </w:div>
      </w:divsChild>
    </w:div>
    <w:div w:id="958297216">
      <w:bodyDiv w:val="1"/>
      <w:marLeft w:val="0"/>
      <w:marRight w:val="0"/>
      <w:marTop w:val="0"/>
      <w:marBottom w:val="0"/>
      <w:divBdr>
        <w:top w:val="none" w:sz="0" w:space="0" w:color="auto"/>
        <w:left w:val="none" w:sz="0" w:space="0" w:color="auto"/>
        <w:bottom w:val="none" w:sz="0" w:space="0" w:color="auto"/>
        <w:right w:val="none" w:sz="0" w:space="0" w:color="auto"/>
      </w:divBdr>
    </w:div>
    <w:div w:id="973406284">
      <w:bodyDiv w:val="1"/>
      <w:marLeft w:val="0"/>
      <w:marRight w:val="0"/>
      <w:marTop w:val="0"/>
      <w:marBottom w:val="0"/>
      <w:divBdr>
        <w:top w:val="none" w:sz="0" w:space="0" w:color="auto"/>
        <w:left w:val="none" w:sz="0" w:space="0" w:color="auto"/>
        <w:bottom w:val="none" w:sz="0" w:space="0" w:color="auto"/>
        <w:right w:val="none" w:sz="0" w:space="0" w:color="auto"/>
      </w:divBdr>
      <w:divsChild>
        <w:div w:id="339239150">
          <w:marLeft w:val="0"/>
          <w:marRight w:val="0"/>
          <w:marTop w:val="0"/>
          <w:marBottom w:val="0"/>
          <w:divBdr>
            <w:top w:val="none" w:sz="0" w:space="0" w:color="auto"/>
            <w:left w:val="none" w:sz="0" w:space="0" w:color="auto"/>
            <w:bottom w:val="none" w:sz="0" w:space="0" w:color="auto"/>
            <w:right w:val="none" w:sz="0" w:space="0" w:color="auto"/>
          </w:divBdr>
        </w:div>
        <w:div w:id="671252009">
          <w:marLeft w:val="0"/>
          <w:marRight w:val="0"/>
          <w:marTop w:val="0"/>
          <w:marBottom w:val="0"/>
          <w:divBdr>
            <w:top w:val="none" w:sz="0" w:space="0" w:color="auto"/>
            <w:left w:val="none" w:sz="0" w:space="0" w:color="auto"/>
            <w:bottom w:val="none" w:sz="0" w:space="0" w:color="auto"/>
            <w:right w:val="none" w:sz="0" w:space="0" w:color="auto"/>
          </w:divBdr>
        </w:div>
        <w:div w:id="295841639">
          <w:marLeft w:val="0"/>
          <w:marRight w:val="0"/>
          <w:marTop w:val="0"/>
          <w:marBottom w:val="0"/>
          <w:divBdr>
            <w:top w:val="none" w:sz="0" w:space="0" w:color="auto"/>
            <w:left w:val="none" w:sz="0" w:space="0" w:color="auto"/>
            <w:bottom w:val="none" w:sz="0" w:space="0" w:color="auto"/>
            <w:right w:val="none" w:sz="0" w:space="0" w:color="auto"/>
          </w:divBdr>
        </w:div>
        <w:div w:id="476996790">
          <w:marLeft w:val="0"/>
          <w:marRight w:val="0"/>
          <w:marTop w:val="0"/>
          <w:marBottom w:val="0"/>
          <w:divBdr>
            <w:top w:val="none" w:sz="0" w:space="0" w:color="auto"/>
            <w:left w:val="none" w:sz="0" w:space="0" w:color="auto"/>
            <w:bottom w:val="none" w:sz="0" w:space="0" w:color="auto"/>
            <w:right w:val="none" w:sz="0" w:space="0" w:color="auto"/>
          </w:divBdr>
        </w:div>
        <w:div w:id="1108505236">
          <w:marLeft w:val="0"/>
          <w:marRight w:val="0"/>
          <w:marTop w:val="0"/>
          <w:marBottom w:val="0"/>
          <w:divBdr>
            <w:top w:val="none" w:sz="0" w:space="0" w:color="auto"/>
            <w:left w:val="none" w:sz="0" w:space="0" w:color="auto"/>
            <w:bottom w:val="none" w:sz="0" w:space="0" w:color="auto"/>
            <w:right w:val="none" w:sz="0" w:space="0" w:color="auto"/>
          </w:divBdr>
        </w:div>
        <w:div w:id="1233004730">
          <w:marLeft w:val="0"/>
          <w:marRight w:val="0"/>
          <w:marTop w:val="0"/>
          <w:marBottom w:val="0"/>
          <w:divBdr>
            <w:top w:val="none" w:sz="0" w:space="0" w:color="auto"/>
            <w:left w:val="none" w:sz="0" w:space="0" w:color="auto"/>
            <w:bottom w:val="none" w:sz="0" w:space="0" w:color="auto"/>
            <w:right w:val="none" w:sz="0" w:space="0" w:color="auto"/>
          </w:divBdr>
        </w:div>
        <w:div w:id="98917144">
          <w:marLeft w:val="0"/>
          <w:marRight w:val="0"/>
          <w:marTop w:val="0"/>
          <w:marBottom w:val="0"/>
          <w:divBdr>
            <w:top w:val="none" w:sz="0" w:space="0" w:color="auto"/>
            <w:left w:val="none" w:sz="0" w:space="0" w:color="auto"/>
            <w:bottom w:val="none" w:sz="0" w:space="0" w:color="auto"/>
            <w:right w:val="none" w:sz="0" w:space="0" w:color="auto"/>
          </w:divBdr>
        </w:div>
        <w:div w:id="1127118078">
          <w:marLeft w:val="0"/>
          <w:marRight w:val="0"/>
          <w:marTop w:val="0"/>
          <w:marBottom w:val="0"/>
          <w:divBdr>
            <w:top w:val="none" w:sz="0" w:space="0" w:color="auto"/>
            <w:left w:val="none" w:sz="0" w:space="0" w:color="auto"/>
            <w:bottom w:val="none" w:sz="0" w:space="0" w:color="auto"/>
            <w:right w:val="none" w:sz="0" w:space="0" w:color="auto"/>
          </w:divBdr>
        </w:div>
        <w:div w:id="1908805833">
          <w:marLeft w:val="0"/>
          <w:marRight w:val="0"/>
          <w:marTop w:val="0"/>
          <w:marBottom w:val="0"/>
          <w:divBdr>
            <w:top w:val="none" w:sz="0" w:space="0" w:color="auto"/>
            <w:left w:val="none" w:sz="0" w:space="0" w:color="auto"/>
            <w:bottom w:val="none" w:sz="0" w:space="0" w:color="auto"/>
            <w:right w:val="none" w:sz="0" w:space="0" w:color="auto"/>
          </w:divBdr>
        </w:div>
        <w:div w:id="136843071">
          <w:marLeft w:val="0"/>
          <w:marRight w:val="0"/>
          <w:marTop w:val="0"/>
          <w:marBottom w:val="0"/>
          <w:divBdr>
            <w:top w:val="none" w:sz="0" w:space="0" w:color="auto"/>
            <w:left w:val="none" w:sz="0" w:space="0" w:color="auto"/>
            <w:bottom w:val="none" w:sz="0" w:space="0" w:color="auto"/>
            <w:right w:val="none" w:sz="0" w:space="0" w:color="auto"/>
          </w:divBdr>
        </w:div>
        <w:div w:id="1959601180">
          <w:marLeft w:val="0"/>
          <w:marRight w:val="0"/>
          <w:marTop w:val="0"/>
          <w:marBottom w:val="0"/>
          <w:divBdr>
            <w:top w:val="none" w:sz="0" w:space="0" w:color="auto"/>
            <w:left w:val="none" w:sz="0" w:space="0" w:color="auto"/>
            <w:bottom w:val="none" w:sz="0" w:space="0" w:color="auto"/>
            <w:right w:val="none" w:sz="0" w:space="0" w:color="auto"/>
          </w:divBdr>
        </w:div>
        <w:div w:id="1190140301">
          <w:marLeft w:val="0"/>
          <w:marRight w:val="0"/>
          <w:marTop w:val="0"/>
          <w:marBottom w:val="0"/>
          <w:divBdr>
            <w:top w:val="none" w:sz="0" w:space="0" w:color="auto"/>
            <w:left w:val="none" w:sz="0" w:space="0" w:color="auto"/>
            <w:bottom w:val="none" w:sz="0" w:space="0" w:color="auto"/>
            <w:right w:val="none" w:sz="0" w:space="0" w:color="auto"/>
          </w:divBdr>
        </w:div>
        <w:div w:id="1489976489">
          <w:marLeft w:val="0"/>
          <w:marRight w:val="0"/>
          <w:marTop w:val="0"/>
          <w:marBottom w:val="0"/>
          <w:divBdr>
            <w:top w:val="none" w:sz="0" w:space="0" w:color="auto"/>
            <w:left w:val="none" w:sz="0" w:space="0" w:color="auto"/>
            <w:bottom w:val="none" w:sz="0" w:space="0" w:color="auto"/>
            <w:right w:val="none" w:sz="0" w:space="0" w:color="auto"/>
          </w:divBdr>
        </w:div>
        <w:div w:id="838811620">
          <w:marLeft w:val="0"/>
          <w:marRight w:val="0"/>
          <w:marTop w:val="0"/>
          <w:marBottom w:val="0"/>
          <w:divBdr>
            <w:top w:val="none" w:sz="0" w:space="0" w:color="auto"/>
            <w:left w:val="none" w:sz="0" w:space="0" w:color="auto"/>
            <w:bottom w:val="none" w:sz="0" w:space="0" w:color="auto"/>
            <w:right w:val="none" w:sz="0" w:space="0" w:color="auto"/>
          </w:divBdr>
        </w:div>
      </w:divsChild>
    </w:div>
    <w:div w:id="1011449531">
      <w:bodyDiv w:val="1"/>
      <w:marLeft w:val="0"/>
      <w:marRight w:val="0"/>
      <w:marTop w:val="0"/>
      <w:marBottom w:val="0"/>
      <w:divBdr>
        <w:top w:val="none" w:sz="0" w:space="0" w:color="auto"/>
        <w:left w:val="none" w:sz="0" w:space="0" w:color="auto"/>
        <w:bottom w:val="none" w:sz="0" w:space="0" w:color="auto"/>
        <w:right w:val="none" w:sz="0" w:space="0" w:color="auto"/>
      </w:divBdr>
    </w:div>
    <w:div w:id="1092749630">
      <w:bodyDiv w:val="1"/>
      <w:marLeft w:val="0"/>
      <w:marRight w:val="0"/>
      <w:marTop w:val="0"/>
      <w:marBottom w:val="0"/>
      <w:divBdr>
        <w:top w:val="none" w:sz="0" w:space="0" w:color="auto"/>
        <w:left w:val="none" w:sz="0" w:space="0" w:color="auto"/>
        <w:bottom w:val="none" w:sz="0" w:space="0" w:color="auto"/>
        <w:right w:val="none" w:sz="0" w:space="0" w:color="auto"/>
      </w:divBdr>
    </w:div>
    <w:div w:id="1429081439">
      <w:bodyDiv w:val="1"/>
      <w:marLeft w:val="0"/>
      <w:marRight w:val="0"/>
      <w:marTop w:val="0"/>
      <w:marBottom w:val="0"/>
      <w:divBdr>
        <w:top w:val="none" w:sz="0" w:space="0" w:color="auto"/>
        <w:left w:val="none" w:sz="0" w:space="0" w:color="auto"/>
        <w:bottom w:val="none" w:sz="0" w:space="0" w:color="auto"/>
        <w:right w:val="none" w:sz="0" w:space="0" w:color="auto"/>
      </w:divBdr>
    </w:div>
    <w:div w:id="1453862131">
      <w:bodyDiv w:val="1"/>
      <w:marLeft w:val="0"/>
      <w:marRight w:val="0"/>
      <w:marTop w:val="0"/>
      <w:marBottom w:val="0"/>
      <w:divBdr>
        <w:top w:val="none" w:sz="0" w:space="0" w:color="auto"/>
        <w:left w:val="none" w:sz="0" w:space="0" w:color="auto"/>
        <w:bottom w:val="none" w:sz="0" w:space="0" w:color="auto"/>
        <w:right w:val="none" w:sz="0" w:space="0" w:color="auto"/>
      </w:divBdr>
    </w:div>
    <w:div w:id="1734935463">
      <w:bodyDiv w:val="1"/>
      <w:marLeft w:val="0"/>
      <w:marRight w:val="0"/>
      <w:marTop w:val="0"/>
      <w:marBottom w:val="0"/>
      <w:divBdr>
        <w:top w:val="none" w:sz="0" w:space="0" w:color="auto"/>
        <w:left w:val="none" w:sz="0" w:space="0" w:color="auto"/>
        <w:bottom w:val="none" w:sz="0" w:space="0" w:color="auto"/>
        <w:right w:val="none" w:sz="0" w:space="0" w:color="auto"/>
      </w:divBdr>
    </w:div>
    <w:div w:id="1827933915">
      <w:bodyDiv w:val="1"/>
      <w:marLeft w:val="0"/>
      <w:marRight w:val="0"/>
      <w:marTop w:val="0"/>
      <w:marBottom w:val="0"/>
      <w:divBdr>
        <w:top w:val="none" w:sz="0" w:space="0" w:color="auto"/>
        <w:left w:val="none" w:sz="0" w:space="0" w:color="auto"/>
        <w:bottom w:val="none" w:sz="0" w:space="0" w:color="auto"/>
        <w:right w:val="none" w:sz="0" w:space="0" w:color="auto"/>
      </w:divBdr>
    </w:div>
    <w:div w:id="2004160885">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1528-A051-43EB-BDC5-AF3EB5C9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10</cp:revision>
  <cp:lastPrinted>2016-11-29T09:41:00Z</cp:lastPrinted>
  <dcterms:created xsi:type="dcterms:W3CDTF">2019-11-15T10:07:00Z</dcterms:created>
  <dcterms:modified xsi:type="dcterms:W3CDTF">2019-12-12T13:32:00Z</dcterms:modified>
</cp:coreProperties>
</file>