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53" w:rsidRDefault="00D30253" w:rsidP="00D30253">
      <w:pPr>
        <w:rPr>
          <w:b/>
          <w:sz w:val="24"/>
          <w:szCs w:val="24"/>
        </w:rPr>
      </w:pPr>
      <w:r>
        <w:rPr>
          <w:b/>
          <w:noProof/>
          <w:lang w:eastAsia="en-GB"/>
        </w:rPr>
        <w:drawing>
          <wp:anchor distT="0" distB="0" distL="114300" distR="114300" simplePos="0" relativeHeight="251658240" behindDoc="0" locked="0" layoutInCell="1" allowOverlap="1" wp14:anchorId="13D9D207" wp14:editId="265B18A2">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anchor>
        </w:drawing>
      </w:r>
    </w:p>
    <w:p w:rsidR="00D30253" w:rsidRDefault="00D30253" w:rsidP="00D30253">
      <w:pPr>
        <w:rPr>
          <w:b/>
          <w:sz w:val="24"/>
          <w:szCs w:val="24"/>
        </w:rPr>
      </w:pPr>
    </w:p>
    <w:p w:rsidR="001663F0" w:rsidRDefault="001663F0" w:rsidP="00D30253">
      <w:pPr>
        <w:rPr>
          <w:b/>
          <w:sz w:val="24"/>
          <w:szCs w:val="24"/>
        </w:rPr>
      </w:pPr>
    </w:p>
    <w:tbl>
      <w:tblPr>
        <w:tblStyle w:val="MediumList2-Accent1"/>
        <w:tblW w:w="0" w:type="auto"/>
        <w:tblLook w:val="04A0" w:firstRow="1" w:lastRow="0" w:firstColumn="1" w:lastColumn="0" w:noHBand="0" w:noVBand="1"/>
      </w:tblPr>
      <w:tblGrid>
        <w:gridCol w:w="2376"/>
        <w:gridCol w:w="6866"/>
      </w:tblGrid>
      <w:tr w:rsidR="00D30253" w:rsidTr="00B26342">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rsidR="00D30253" w:rsidRPr="00C95CD4" w:rsidRDefault="00EF3CB7" w:rsidP="00EF3CB7">
            <w:pPr>
              <w:spacing w:line="360" w:lineRule="auto"/>
              <w:rPr>
                <w:b/>
                <w:sz w:val="28"/>
                <w:szCs w:val="28"/>
              </w:rPr>
            </w:pPr>
            <w:r>
              <w:rPr>
                <w:sz w:val="28"/>
                <w:szCs w:val="28"/>
              </w:rPr>
              <w:t>Performance and Resources Committee Meet</w:t>
            </w:r>
            <w:r w:rsidR="00D30253" w:rsidRPr="00C95CD4">
              <w:rPr>
                <w:sz w:val="28"/>
                <w:szCs w:val="28"/>
              </w:rPr>
              <w:t>ing</w:t>
            </w:r>
          </w:p>
        </w:tc>
      </w:tr>
      <w:tr w:rsidR="00D30253"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rsidR="00D30253" w:rsidRPr="00C95CD4" w:rsidRDefault="00D30253" w:rsidP="00B26342">
            <w:pPr>
              <w:spacing w:line="360" w:lineRule="auto"/>
            </w:pPr>
            <w:r w:rsidRPr="00C95CD4">
              <w:t>Date</w:t>
            </w:r>
            <w:r w:rsidR="00A25B32" w:rsidRPr="00C95CD4">
              <w:t xml:space="preserve"> of M</w:t>
            </w:r>
            <w:r w:rsidR="00B26342" w:rsidRPr="00C95CD4">
              <w:t xml:space="preserve">eeting </w:t>
            </w:r>
          </w:p>
        </w:tc>
        <w:tc>
          <w:tcPr>
            <w:tcW w:w="6866" w:type="dxa"/>
            <w:tcBorders>
              <w:top w:val="single" w:sz="4" w:space="0" w:color="548DD4" w:themeColor="text2" w:themeTint="99"/>
              <w:right w:val="nil"/>
            </w:tcBorders>
          </w:tcPr>
          <w:p w:rsidR="00D30253" w:rsidRPr="00C95CD4" w:rsidRDefault="009C5C5C" w:rsidP="009C5C5C">
            <w:pPr>
              <w:spacing w:line="360" w:lineRule="auto"/>
              <w:cnfStyle w:val="000000100000" w:firstRow="0" w:lastRow="0" w:firstColumn="0" w:lastColumn="0" w:oddVBand="0" w:evenVBand="0" w:oddHBand="1" w:evenHBand="0" w:firstRowFirstColumn="0" w:firstRowLastColumn="0" w:lastRowFirstColumn="0" w:lastRowLastColumn="0"/>
            </w:pPr>
            <w:r>
              <w:t>Wednes</w:t>
            </w:r>
            <w:r w:rsidR="00304542">
              <w:t>day</w:t>
            </w:r>
            <w:r w:rsidR="00EF3CB7">
              <w:t xml:space="preserve"> </w:t>
            </w:r>
            <w:r w:rsidR="00A83DB4">
              <w:t>18</w:t>
            </w:r>
            <w:r w:rsidR="00EF3CB7">
              <w:t xml:space="preserve"> </w:t>
            </w:r>
            <w:r w:rsidR="00A83DB4">
              <w:t>Decem</w:t>
            </w:r>
            <w:r w:rsidR="00304542">
              <w:t>ber</w:t>
            </w:r>
            <w:r w:rsidR="00A83DB4">
              <w:t xml:space="preserve"> 2019</w:t>
            </w:r>
          </w:p>
        </w:tc>
      </w:tr>
      <w:tr w:rsidR="00D30253" w:rsidTr="00B26342">
        <w:tc>
          <w:tcPr>
            <w:cnfStyle w:val="001000000000" w:firstRow="0" w:lastRow="0" w:firstColumn="1" w:lastColumn="0" w:oddVBand="0" w:evenVBand="0" w:oddHBand="0" w:evenHBand="0" w:firstRowFirstColumn="0" w:firstRowLastColumn="0" w:lastRowFirstColumn="0" w:lastRowLastColumn="0"/>
            <w:tcW w:w="2376" w:type="dxa"/>
          </w:tcPr>
          <w:p w:rsidR="00D30253" w:rsidRPr="00C95CD4" w:rsidRDefault="00A25B32" w:rsidP="00B26342">
            <w:pPr>
              <w:spacing w:line="360" w:lineRule="auto"/>
            </w:pPr>
            <w:r w:rsidRPr="00C95CD4">
              <w:t>Paper T</w:t>
            </w:r>
            <w:r w:rsidR="00B26342" w:rsidRPr="00C95CD4">
              <w:t>itle</w:t>
            </w:r>
          </w:p>
        </w:tc>
        <w:tc>
          <w:tcPr>
            <w:tcW w:w="6866" w:type="dxa"/>
            <w:tcBorders>
              <w:top w:val="nil"/>
              <w:bottom w:val="nil"/>
              <w:right w:val="nil"/>
            </w:tcBorders>
          </w:tcPr>
          <w:p w:rsidR="00D30253" w:rsidRPr="00C95CD4" w:rsidRDefault="004D119B" w:rsidP="001725E2">
            <w:pPr>
              <w:spacing w:line="360" w:lineRule="auto"/>
              <w:cnfStyle w:val="000000000000" w:firstRow="0" w:lastRow="0" w:firstColumn="0" w:lastColumn="0" w:oddVBand="0" w:evenVBand="0" w:oddHBand="0" w:evenHBand="0" w:firstRowFirstColumn="0" w:firstRowLastColumn="0" w:lastRowFirstColumn="0" w:lastRowLastColumn="0"/>
            </w:pPr>
            <w:r>
              <w:t>Financial Forecast Return</w:t>
            </w:r>
            <w:r w:rsidR="00C67168">
              <w:t xml:space="preserve"> - </w:t>
            </w:r>
            <w:r w:rsidR="001725E2">
              <w:t>Region</w:t>
            </w:r>
          </w:p>
        </w:tc>
      </w:tr>
      <w:tr w:rsidR="00A25B32"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5B32" w:rsidRPr="00C95CD4" w:rsidRDefault="00A25B32" w:rsidP="00B26342">
            <w:pPr>
              <w:spacing w:line="360" w:lineRule="auto"/>
            </w:pPr>
            <w:r w:rsidRPr="00C95CD4">
              <w:t>Agenda Item</w:t>
            </w:r>
          </w:p>
        </w:tc>
        <w:tc>
          <w:tcPr>
            <w:tcW w:w="6866" w:type="dxa"/>
            <w:tcBorders>
              <w:right w:val="nil"/>
            </w:tcBorders>
          </w:tcPr>
          <w:p w:rsidR="00A25B32" w:rsidRPr="00C95CD4" w:rsidRDefault="00F2123D" w:rsidP="00506DC7">
            <w:pPr>
              <w:spacing w:line="360" w:lineRule="auto"/>
              <w:cnfStyle w:val="000000100000" w:firstRow="0" w:lastRow="0" w:firstColumn="0" w:lastColumn="0" w:oddVBand="0" w:evenVBand="0" w:oddHBand="1" w:evenHBand="0" w:firstRowFirstColumn="0" w:firstRowLastColumn="0" w:lastRowFirstColumn="0" w:lastRowLastColumn="0"/>
            </w:pPr>
            <w:r>
              <w:t>12</w:t>
            </w:r>
            <w:bookmarkStart w:id="0" w:name="_GoBack"/>
            <w:bookmarkEnd w:id="0"/>
          </w:p>
        </w:tc>
      </w:tr>
      <w:tr w:rsidR="00D30253" w:rsidTr="00B26342">
        <w:tc>
          <w:tcPr>
            <w:cnfStyle w:val="001000000000" w:firstRow="0" w:lastRow="0" w:firstColumn="1" w:lastColumn="0" w:oddVBand="0" w:evenVBand="0" w:oddHBand="0" w:evenHBand="0" w:firstRowFirstColumn="0" w:firstRowLastColumn="0" w:lastRowFirstColumn="0" w:lastRowLastColumn="0"/>
            <w:tcW w:w="2376" w:type="dxa"/>
          </w:tcPr>
          <w:p w:rsidR="00D30253" w:rsidRPr="00C95CD4" w:rsidRDefault="00A25B32" w:rsidP="00B26342">
            <w:pPr>
              <w:spacing w:line="360" w:lineRule="auto"/>
            </w:pPr>
            <w:r w:rsidRPr="00C95CD4">
              <w:t>Paper N</w:t>
            </w:r>
            <w:r w:rsidR="00D30253" w:rsidRPr="00C95CD4">
              <w:t>umber</w:t>
            </w:r>
          </w:p>
        </w:tc>
        <w:tc>
          <w:tcPr>
            <w:tcW w:w="6866" w:type="dxa"/>
            <w:tcBorders>
              <w:right w:val="nil"/>
            </w:tcBorders>
          </w:tcPr>
          <w:p w:rsidR="00D30253" w:rsidRPr="00C95CD4" w:rsidRDefault="001857E1" w:rsidP="005A0495">
            <w:pPr>
              <w:spacing w:line="360" w:lineRule="auto"/>
              <w:cnfStyle w:val="000000000000" w:firstRow="0" w:lastRow="0" w:firstColumn="0" w:lastColumn="0" w:oddVBand="0" w:evenVBand="0" w:oddHBand="0" w:evenHBand="0" w:firstRowFirstColumn="0" w:firstRowLastColumn="0" w:lastRowFirstColumn="0" w:lastRowLastColumn="0"/>
            </w:pPr>
            <w:r>
              <w:t>PRC2-H</w:t>
            </w:r>
          </w:p>
        </w:tc>
      </w:tr>
      <w:tr w:rsidR="00D30253"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30253" w:rsidRPr="00C95CD4" w:rsidRDefault="00B26342" w:rsidP="00A25B32">
            <w:pPr>
              <w:spacing w:line="360" w:lineRule="auto"/>
            </w:pPr>
            <w:r w:rsidRPr="00C95CD4">
              <w:t xml:space="preserve">Responsible </w:t>
            </w:r>
            <w:r w:rsidR="00A25B32" w:rsidRPr="00C95CD4">
              <w:t>O</w:t>
            </w:r>
            <w:r w:rsidR="00D30253" w:rsidRPr="00C95CD4">
              <w:t xml:space="preserve">fficer </w:t>
            </w:r>
          </w:p>
        </w:tc>
        <w:tc>
          <w:tcPr>
            <w:tcW w:w="6866" w:type="dxa"/>
            <w:tcBorders>
              <w:right w:val="nil"/>
            </w:tcBorders>
          </w:tcPr>
          <w:p w:rsidR="00D30253" w:rsidRPr="00C95CD4" w:rsidRDefault="005959CE" w:rsidP="009C5C5C">
            <w:pPr>
              <w:spacing w:line="360" w:lineRule="auto"/>
              <w:cnfStyle w:val="000000100000" w:firstRow="0" w:lastRow="0" w:firstColumn="0" w:lastColumn="0" w:oddVBand="0" w:evenVBand="0" w:oddHBand="1" w:evenHBand="0" w:firstRowFirstColumn="0" w:firstRowLastColumn="0" w:lastRowFirstColumn="0" w:lastRowLastColumn="0"/>
            </w:pPr>
            <w:r>
              <w:t>Jim Godfrey</w:t>
            </w:r>
            <w:r w:rsidR="003D462C">
              <w:t xml:space="preserve">, </w:t>
            </w:r>
            <w:r w:rsidR="009C5C5C">
              <w:t>F</w:t>
            </w:r>
            <w:r w:rsidR="00A50F4B">
              <w:t>inance and Resources</w:t>
            </w:r>
            <w:r w:rsidR="00B738E3">
              <w:t xml:space="preserve"> Director</w:t>
            </w:r>
          </w:p>
        </w:tc>
      </w:tr>
      <w:tr w:rsidR="00D30253" w:rsidTr="00B26342">
        <w:tc>
          <w:tcPr>
            <w:cnfStyle w:val="001000000000" w:firstRow="0" w:lastRow="0" w:firstColumn="1" w:lastColumn="0" w:oddVBand="0" w:evenVBand="0" w:oddHBand="0" w:evenHBand="0" w:firstRowFirstColumn="0" w:firstRowLastColumn="0" w:lastRowFirstColumn="0" w:lastRowLastColumn="0"/>
            <w:tcW w:w="2376" w:type="dxa"/>
          </w:tcPr>
          <w:p w:rsidR="00D30253" w:rsidRPr="00C95CD4" w:rsidRDefault="00D30253" w:rsidP="00B26342">
            <w:pPr>
              <w:spacing w:line="360" w:lineRule="auto"/>
            </w:pPr>
            <w:r w:rsidRPr="00C95CD4">
              <w:t>Status</w:t>
            </w:r>
          </w:p>
        </w:tc>
        <w:tc>
          <w:tcPr>
            <w:tcW w:w="6866" w:type="dxa"/>
            <w:tcBorders>
              <w:right w:val="nil"/>
            </w:tcBorders>
          </w:tcPr>
          <w:p w:rsidR="00D30253" w:rsidRPr="00C95CD4" w:rsidRDefault="003D462C" w:rsidP="00B26342">
            <w:pPr>
              <w:spacing w:line="360" w:lineRule="auto"/>
              <w:cnfStyle w:val="000000000000" w:firstRow="0" w:lastRow="0" w:firstColumn="0" w:lastColumn="0" w:oddVBand="0" w:evenVBand="0" w:oddHBand="0" w:evenHBand="0" w:firstRowFirstColumn="0" w:firstRowLastColumn="0" w:lastRowFirstColumn="0" w:lastRowLastColumn="0"/>
            </w:pPr>
            <w:proofErr w:type="spellStart"/>
            <w:r>
              <w:t>Disclosable</w:t>
            </w:r>
            <w:proofErr w:type="spellEnd"/>
          </w:p>
        </w:tc>
      </w:tr>
      <w:tr w:rsidR="00D30253"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rsidR="00D30253" w:rsidRPr="00C95CD4" w:rsidRDefault="00D30253" w:rsidP="00B26342">
            <w:pPr>
              <w:spacing w:line="360" w:lineRule="auto"/>
            </w:pPr>
            <w:r w:rsidRPr="00C95CD4">
              <w:t>Action</w:t>
            </w:r>
          </w:p>
        </w:tc>
        <w:tc>
          <w:tcPr>
            <w:tcW w:w="6866" w:type="dxa"/>
            <w:tcBorders>
              <w:bottom w:val="single" w:sz="8" w:space="0" w:color="4F81BD" w:themeColor="accent1"/>
              <w:right w:val="nil"/>
            </w:tcBorders>
          </w:tcPr>
          <w:p w:rsidR="00D30253" w:rsidRPr="00C95CD4" w:rsidRDefault="003D462C" w:rsidP="00697F49">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697F49">
              <w:t>Decision</w:t>
            </w:r>
          </w:p>
        </w:tc>
      </w:tr>
    </w:tbl>
    <w:p w:rsidR="00B26342" w:rsidRPr="00C95CD4" w:rsidRDefault="00B26342" w:rsidP="005630E1">
      <w:pPr>
        <w:rPr>
          <w:rFonts w:asciiTheme="majorHAnsi" w:hAnsiTheme="majorHAnsi"/>
          <w:b/>
        </w:rPr>
      </w:pPr>
    </w:p>
    <w:p w:rsidR="00C95CD4" w:rsidRPr="00925AF2" w:rsidRDefault="005630E1" w:rsidP="00C73630">
      <w:pPr>
        <w:pStyle w:val="Paperparalevel1"/>
        <w:ind w:left="567" w:hanging="567"/>
      </w:pPr>
      <w:r w:rsidRPr="00925AF2">
        <w:t>Report Purpose</w:t>
      </w:r>
    </w:p>
    <w:p w:rsidR="003D462C" w:rsidRPr="000624FE" w:rsidRDefault="007D4484" w:rsidP="00C73630">
      <w:pPr>
        <w:pStyle w:val="Paperparalevel2"/>
        <w:ind w:left="1134" w:hanging="567"/>
      </w:pPr>
      <w:r>
        <w:t xml:space="preserve">To </w:t>
      </w:r>
      <w:r w:rsidR="004D119B">
        <w:t xml:space="preserve">enable the Committee to consider </w:t>
      </w:r>
      <w:r w:rsidR="0005029F">
        <w:t xml:space="preserve">the </w:t>
      </w:r>
      <w:r w:rsidR="004D119B">
        <w:t>Financial Forecast Return</w:t>
      </w:r>
      <w:r w:rsidR="0005029F">
        <w:t>s for the Region</w:t>
      </w:r>
      <w:r w:rsidR="00975090">
        <w:t>.</w:t>
      </w:r>
    </w:p>
    <w:p w:rsidR="00C95CD4" w:rsidRDefault="005630E1" w:rsidP="00C73630">
      <w:pPr>
        <w:pStyle w:val="Paperparalevel1"/>
        <w:ind w:left="567" w:hanging="567"/>
      </w:pPr>
      <w:r w:rsidRPr="00B26342">
        <w:t>Recommendations</w:t>
      </w:r>
    </w:p>
    <w:p w:rsidR="001D7891" w:rsidRPr="006E3BB6" w:rsidRDefault="006C6B6A" w:rsidP="00C73630">
      <w:pPr>
        <w:pStyle w:val="Paperparalevel2"/>
        <w:ind w:left="1134" w:hanging="567"/>
      </w:pPr>
      <w:r>
        <w:t xml:space="preserve">The </w:t>
      </w:r>
      <w:r w:rsidR="007D4484">
        <w:t>Committee</w:t>
      </w:r>
      <w:r>
        <w:t xml:space="preserve"> is </w:t>
      </w:r>
      <w:r w:rsidR="009A68E9">
        <w:t>asked to</w:t>
      </w:r>
      <w:r w:rsidR="00DE19D9">
        <w:t xml:space="preserve"> </w:t>
      </w:r>
      <w:r w:rsidR="006069E4" w:rsidRPr="00C73630">
        <w:rPr>
          <w:b/>
        </w:rPr>
        <w:t>note</w:t>
      </w:r>
      <w:r w:rsidR="006069E4" w:rsidRPr="006E3BB6">
        <w:t xml:space="preserve"> the </w:t>
      </w:r>
      <w:r w:rsidR="001D7891" w:rsidRPr="006E3BB6">
        <w:t xml:space="preserve">consolidated </w:t>
      </w:r>
      <w:r w:rsidR="006069E4" w:rsidRPr="006E3BB6">
        <w:t xml:space="preserve">Financial Forecast Return of the </w:t>
      </w:r>
      <w:r w:rsidR="001D7891" w:rsidRPr="006E3BB6">
        <w:t xml:space="preserve">Glasgow </w:t>
      </w:r>
      <w:r w:rsidR="001725E2">
        <w:t>region and the emerging issues identified in the report</w:t>
      </w:r>
      <w:r w:rsidR="001D7891" w:rsidRPr="006E3BB6">
        <w:t>.</w:t>
      </w:r>
    </w:p>
    <w:p w:rsidR="008F1A22" w:rsidRDefault="006069E4" w:rsidP="00C73630">
      <w:pPr>
        <w:pStyle w:val="Paperparalevel1"/>
        <w:ind w:left="567" w:hanging="567"/>
      </w:pPr>
      <w:r>
        <w:t>Background</w:t>
      </w:r>
    </w:p>
    <w:p w:rsidR="008C06BC" w:rsidRDefault="006069E4" w:rsidP="00C73630">
      <w:pPr>
        <w:pStyle w:val="Paperparalevel2"/>
        <w:ind w:left="1134" w:hanging="567"/>
      </w:pPr>
      <w:r>
        <w:t xml:space="preserve">The Financial Forecast Return is an annual return that </w:t>
      </w:r>
      <w:r w:rsidR="00FF1EA1">
        <w:t>regions, and colleges,</w:t>
      </w:r>
      <w:r w:rsidR="00697F49">
        <w:t xml:space="preserve"> are required to submit to </w:t>
      </w:r>
      <w:r>
        <w:t>the Scottish Funding Council</w:t>
      </w:r>
      <w:r w:rsidR="00F449B1">
        <w:t xml:space="preserve"> (SFC)</w:t>
      </w:r>
      <w:r>
        <w:t xml:space="preserve">.  </w:t>
      </w:r>
      <w:r w:rsidR="008C06BC">
        <w:t xml:space="preserve">The Financial Forecast Return is used by the Scottish Funding Council to “monitor and assess the financial health of colleges and better understand the resource pressures and challenges that are anticipating”.  </w:t>
      </w:r>
      <w:r w:rsidR="00FF1EA1">
        <w:t>GCRB is</w:t>
      </w:r>
      <w:r w:rsidR="00975090">
        <w:t xml:space="preserve"> required</w:t>
      </w:r>
      <w:r>
        <w:t xml:space="preserve"> to submit a return</w:t>
      </w:r>
      <w:r w:rsidR="007920C9">
        <w:t xml:space="preserve"> for</w:t>
      </w:r>
      <w:r w:rsidR="00BF42FF">
        <w:t xml:space="preserve">ecasting </w:t>
      </w:r>
      <w:r w:rsidR="00975090">
        <w:t>the future</w:t>
      </w:r>
      <w:r w:rsidR="00BF42FF">
        <w:t xml:space="preserve"> financial performance</w:t>
      </w:r>
      <w:r>
        <w:t>.</w:t>
      </w:r>
    </w:p>
    <w:p w:rsidR="00C21459" w:rsidRDefault="008C06BC" w:rsidP="00C73630">
      <w:pPr>
        <w:pStyle w:val="Paperparalevel2"/>
        <w:ind w:left="1134" w:hanging="567"/>
      </w:pPr>
      <w:r>
        <w:t xml:space="preserve">Long-term financial planning is </w:t>
      </w:r>
      <w:r w:rsidR="00E01BB7">
        <w:t>wholeheartedly supported</w:t>
      </w:r>
      <w:r>
        <w:t xml:space="preserve"> </w:t>
      </w:r>
      <w:r w:rsidR="00E01BB7">
        <w:t>in the pursuit of effective financial management and good governance.</w:t>
      </w:r>
      <w:r w:rsidR="006069E4">
        <w:t xml:space="preserve"> </w:t>
      </w:r>
      <w:r w:rsidR="00E01BB7">
        <w:t xml:space="preserve"> Enhanced long-term financial planning was also something that was recommended by Audit Scotland in their review of </w:t>
      </w:r>
      <w:r w:rsidR="00C359B9">
        <w:t>Scotland’s Colleges in 2016</w:t>
      </w:r>
      <w:r w:rsidR="00C21459">
        <w:t xml:space="preserve">. This was re-iterated in the </w:t>
      </w:r>
      <w:r w:rsidR="00FF1EA1">
        <w:t>subsequent reviews</w:t>
      </w:r>
      <w:r w:rsidR="00C21459">
        <w:t xml:space="preserve"> in 2018</w:t>
      </w:r>
      <w:r w:rsidR="00FF1EA1">
        <w:t xml:space="preserve"> and 2019. The requirement to improve </w:t>
      </w:r>
      <w:r w:rsidR="00C21459">
        <w:t>the underlying as</w:t>
      </w:r>
      <w:r w:rsidR="00FF1EA1">
        <w:t>sumptions was identified as an area for improvement and this is something that has been addressed by SFC and the college Finance Directors.</w:t>
      </w:r>
    </w:p>
    <w:p w:rsidR="007613DA" w:rsidRDefault="007613DA" w:rsidP="00975090">
      <w:pPr>
        <w:pStyle w:val="Paperparalevel2"/>
        <w:ind w:left="1134" w:hanging="425"/>
      </w:pPr>
      <w:r>
        <w:br w:type="page"/>
      </w:r>
    </w:p>
    <w:p w:rsidR="00843F3E" w:rsidRPr="00C73630" w:rsidRDefault="001E0CDC" w:rsidP="001E0CDC">
      <w:pPr>
        <w:pStyle w:val="Paperparalevel2"/>
        <w:numPr>
          <w:ilvl w:val="0"/>
          <w:numId w:val="0"/>
        </w:numPr>
        <w:ind w:left="1134" w:hanging="567"/>
      </w:pPr>
      <w:r w:rsidRPr="001E0CDC">
        <w:rPr>
          <w:b/>
        </w:rPr>
        <w:lastRenderedPageBreak/>
        <w:t>3.3</w:t>
      </w:r>
      <w:r>
        <w:tab/>
      </w:r>
      <w:r w:rsidR="00C359B9">
        <w:t xml:space="preserve">The completion of the Financial Forecast Return </w:t>
      </w:r>
      <w:r w:rsidR="00C21459">
        <w:t>contributes to long-term planning within the college, the region and the sector.</w:t>
      </w:r>
    </w:p>
    <w:p w:rsidR="006069E4" w:rsidRDefault="00FF1EA1" w:rsidP="00C73630">
      <w:pPr>
        <w:pStyle w:val="Paperparalevel2"/>
        <w:ind w:left="1134" w:hanging="567"/>
      </w:pPr>
      <w:r>
        <w:t>For 2019-20</w:t>
      </w:r>
      <w:r w:rsidR="006069E4">
        <w:t xml:space="preserve">, there will be four separate returns i.e. one for each of the </w:t>
      </w:r>
      <w:r w:rsidR="00843F3E">
        <w:t>c</w:t>
      </w:r>
      <w:r w:rsidR="006069E4">
        <w:t>olleges and one for GCRB.</w:t>
      </w:r>
      <w:r w:rsidR="003C2E66">
        <w:t xml:space="preserve">  The deadline for returns to be submitted</w:t>
      </w:r>
      <w:r>
        <w:t xml:space="preserve"> to be submitted by the colleges</w:t>
      </w:r>
      <w:r w:rsidR="003C2E66">
        <w:t xml:space="preserve"> </w:t>
      </w:r>
      <w:r w:rsidR="007655F4">
        <w:t>wa</w:t>
      </w:r>
      <w:r>
        <w:t xml:space="preserve">s 30 </w:t>
      </w:r>
      <w:r w:rsidR="007655F4">
        <w:t>September.</w:t>
      </w:r>
    </w:p>
    <w:p w:rsidR="006069E4" w:rsidRDefault="006069E4" w:rsidP="00C73630">
      <w:pPr>
        <w:pStyle w:val="Paperparalevel2"/>
        <w:ind w:left="1134" w:hanging="567"/>
      </w:pPr>
      <w:r>
        <w:t>Th</w:t>
      </w:r>
      <w:r w:rsidR="00843F3E">
        <w:t>is</w:t>
      </w:r>
      <w:r w:rsidR="007655F4">
        <w:t xml:space="preserve"> Committee </w:t>
      </w:r>
      <w:r w:rsidR="00FF1EA1">
        <w:t>approve</w:t>
      </w:r>
      <w:r w:rsidR="007655F4">
        <w:t>d</w:t>
      </w:r>
      <w:r w:rsidR="00FF1EA1">
        <w:t xml:space="preserve"> the return for GCRB</w:t>
      </w:r>
      <w:r w:rsidR="007655F4">
        <w:t xml:space="preserve"> at its last meeting and agreed it w</w:t>
      </w:r>
      <w:r w:rsidR="00FF1EA1">
        <w:t xml:space="preserve">ill consider the </w:t>
      </w:r>
      <w:r w:rsidR="007655F4">
        <w:t>consolidated financial position at this meeting.</w:t>
      </w:r>
    </w:p>
    <w:p w:rsidR="002456A6" w:rsidRDefault="00391D60" w:rsidP="00C73630">
      <w:pPr>
        <w:pStyle w:val="Paperparalevel1"/>
        <w:ind w:left="567" w:hanging="567"/>
      </w:pPr>
      <w:r>
        <w:t>Challenges</w:t>
      </w:r>
    </w:p>
    <w:p w:rsidR="00135F6E" w:rsidRPr="00A231CF" w:rsidRDefault="00135F6E" w:rsidP="00C73630">
      <w:pPr>
        <w:pStyle w:val="Paperparalevel2"/>
        <w:ind w:left="1134" w:hanging="567"/>
      </w:pPr>
      <w:r w:rsidRPr="00A231CF">
        <w:t>The College sector faces a number of challenges over the next few years. In particular, the increase in staff costs, due to increases in pensions and salaries, is a significant issue to address.</w:t>
      </w:r>
    </w:p>
    <w:p w:rsidR="00135F6E" w:rsidRPr="00A231CF" w:rsidRDefault="00135F6E" w:rsidP="00C73630">
      <w:pPr>
        <w:pStyle w:val="Paperparalevel2"/>
        <w:ind w:left="1134" w:hanging="567"/>
      </w:pPr>
      <w:r w:rsidRPr="00A231CF">
        <w:t>Some of the key challenges facing the sector are as follows</w:t>
      </w:r>
      <w:r w:rsidRPr="00A231CF">
        <w:rPr>
          <w:vertAlign w:val="superscript"/>
        </w:rPr>
        <w:footnoteReference w:id="1"/>
      </w:r>
      <w:r w:rsidRPr="00A231CF">
        <w:t>:</w:t>
      </w:r>
    </w:p>
    <w:p w:rsidR="00A231CF" w:rsidRPr="00A231CF" w:rsidRDefault="00391D60" w:rsidP="00A231CF">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00A231CF" w:rsidRPr="00A231CF">
        <w:rPr>
          <w:rFonts w:asciiTheme="minorHAnsi" w:hAnsiTheme="minorHAnsi" w:cstheme="minorHAnsi"/>
          <w:color w:val="auto"/>
          <w:sz w:val="22"/>
          <w:szCs w:val="22"/>
        </w:rPr>
        <w:t xml:space="preserve">he Scottish Government Budget does not provide any </w:t>
      </w:r>
      <w:r w:rsidR="00A231CF">
        <w:rPr>
          <w:rFonts w:asciiTheme="minorHAnsi" w:hAnsiTheme="minorHAnsi" w:cstheme="minorHAnsi"/>
          <w:color w:val="auto"/>
          <w:sz w:val="22"/>
          <w:szCs w:val="22"/>
        </w:rPr>
        <w:t xml:space="preserve">certainty of </w:t>
      </w:r>
      <w:r w:rsidR="00A231CF" w:rsidRPr="00A231CF">
        <w:rPr>
          <w:rFonts w:asciiTheme="minorHAnsi" w:hAnsiTheme="minorHAnsi" w:cstheme="minorHAnsi"/>
          <w:color w:val="auto"/>
          <w:sz w:val="22"/>
          <w:szCs w:val="22"/>
        </w:rPr>
        <w:t xml:space="preserve">funding beyond the 2019/20 financial year; </w:t>
      </w:r>
    </w:p>
    <w:p w:rsidR="00A231CF" w:rsidRPr="00A231CF" w:rsidRDefault="00A231CF" w:rsidP="00A231CF">
      <w:pPr>
        <w:pStyle w:val="Default"/>
        <w:numPr>
          <w:ilvl w:val="0"/>
          <w:numId w:val="5"/>
        </w:numPr>
        <w:spacing w:after="47"/>
        <w:ind w:left="1418"/>
        <w:jc w:val="both"/>
        <w:rPr>
          <w:rFonts w:asciiTheme="minorHAnsi" w:hAnsiTheme="minorHAnsi" w:cstheme="minorHAnsi"/>
          <w:color w:val="auto"/>
          <w:sz w:val="22"/>
          <w:szCs w:val="22"/>
        </w:rPr>
      </w:pPr>
      <w:r w:rsidRPr="00A231CF">
        <w:rPr>
          <w:rFonts w:asciiTheme="minorHAnsi" w:hAnsiTheme="minorHAnsi" w:cstheme="minorHAnsi"/>
          <w:color w:val="auto"/>
          <w:sz w:val="22"/>
          <w:szCs w:val="22"/>
        </w:rPr>
        <w:t>National Bargaining has resulted in Teaching Staff being given a sector average of 9% pay award excluding cost of living awards over the three year period 2017-2020;</w:t>
      </w:r>
    </w:p>
    <w:p w:rsidR="00A231CF" w:rsidRPr="00A231CF" w:rsidRDefault="00A231CF" w:rsidP="00A231CF">
      <w:pPr>
        <w:pStyle w:val="Default"/>
        <w:numPr>
          <w:ilvl w:val="0"/>
          <w:numId w:val="5"/>
        </w:numPr>
        <w:spacing w:after="47"/>
        <w:ind w:left="1418"/>
        <w:jc w:val="both"/>
        <w:rPr>
          <w:rFonts w:asciiTheme="minorHAnsi" w:hAnsiTheme="minorHAnsi" w:cstheme="minorHAnsi"/>
          <w:color w:val="auto"/>
          <w:sz w:val="22"/>
          <w:szCs w:val="22"/>
        </w:rPr>
      </w:pPr>
      <w:r w:rsidRPr="00A231CF">
        <w:rPr>
          <w:rFonts w:asciiTheme="minorHAnsi" w:hAnsiTheme="minorHAnsi" w:cstheme="minorHAnsi"/>
          <w:color w:val="auto"/>
          <w:sz w:val="22"/>
          <w:szCs w:val="22"/>
        </w:rPr>
        <w:t xml:space="preserve">The national support staff job-evaluation scheme is currently being progressed by the Colleges Scotland Employers Association.  However the related costs of such a scheme have yet to be confirmed; </w:t>
      </w:r>
    </w:p>
    <w:p w:rsidR="00A231CF" w:rsidRPr="00A231CF" w:rsidRDefault="00391D60" w:rsidP="00A231CF">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00A231CF" w:rsidRPr="00A231CF">
        <w:rPr>
          <w:rFonts w:asciiTheme="minorHAnsi" w:hAnsiTheme="minorHAnsi" w:cstheme="minorHAnsi"/>
          <w:color w:val="auto"/>
          <w:sz w:val="22"/>
          <w:szCs w:val="22"/>
        </w:rPr>
        <w:t>he Colleges Scotland Employers Association does not  have an agreement with Unions in respect of pay claims for Teaching Staff (from September 2020 onwards) and Support Staff (from April 2020 onwards);</w:t>
      </w:r>
    </w:p>
    <w:p w:rsidR="00A231CF" w:rsidRPr="00A231CF" w:rsidRDefault="00391D60" w:rsidP="00A231CF">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W</w:t>
      </w:r>
      <w:r w:rsidR="00A231CF" w:rsidRPr="00A231CF">
        <w:rPr>
          <w:rFonts w:asciiTheme="minorHAnsi" w:hAnsiTheme="minorHAnsi" w:cstheme="minorHAnsi"/>
          <w:color w:val="auto"/>
          <w:sz w:val="22"/>
          <w:szCs w:val="22"/>
        </w:rPr>
        <w:t xml:space="preserve">ithout </w:t>
      </w:r>
      <w:r w:rsidR="00A231CF">
        <w:rPr>
          <w:rFonts w:asciiTheme="minorHAnsi" w:hAnsiTheme="minorHAnsi" w:cstheme="minorHAnsi"/>
          <w:color w:val="auto"/>
          <w:sz w:val="22"/>
          <w:szCs w:val="22"/>
        </w:rPr>
        <w:t>a significant turnover in staff, c</w:t>
      </w:r>
      <w:r w:rsidR="00A231CF" w:rsidRPr="00A231CF">
        <w:rPr>
          <w:rFonts w:asciiTheme="minorHAnsi" w:hAnsiTheme="minorHAnsi" w:cstheme="minorHAnsi"/>
          <w:color w:val="auto"/>
          <w:sz w:val="22"/>
          <w:szCs w:val="22"/>
        </w:rPr>
        <w:t>ollege</w:t>
      </w:r>
      <w:r w:rsidR="00A231CF">
        <w:rPr>
          <w:rFonts w:asciiTheme="minorHAnsi" w:hAnsiTheme="minorHAnsi" w:cstheme="minorHAnsi"/>
          <w:color w:val="auto"/>
          <w:sz w:val="22"/>
          <w:szCs w:val="22"/>
        </w:rPr>
        <w:t>s</w:t>
      </w:r>
      <w:r w:rsidR="00A231CF" w:rsidRPr="00A231CF">
        <w:rPr>
          <w:rFonts w:asciiTheme="minorHAnsi" w:hAnsiTheme="minorHAnsi" w:cstheme="minorHAnsi"/>
          <w:color w:val="auto"/>
          <w:sz w:val="22"/>
          <w:szCs w:val="22"/>
        </w:rPr>
        <w:t xml:space="preserve"> will be unable to achieve significant efficiencies as a result of national</w:t>
      </w:r>
      <w:r w:rsidR="00A231CF">
        <w:rPr>
          <w:rFonts w:asciiTheme="minorHAnsi" w:hAnsiTheme="minorHAnsi" w:cstheme="minorHAnsi"/>
          <w:color w:val="auto"/>
          <w:sz w:val="22"/>
          <w:szCs w:val="22"/>
        </w:rPr>
        <w:t>ly agreed</w:t>
      </w:r>
      <w:r w:rsidR="00A231CF" w:rsidRPr="00A231CF">
        <w:rPr>
          <w:rFonts w:asciiTheme="minorHAnsi" w:hAnsiTheme="minorHAnsi" w:cstheme="minorHAnsi"/>
          <w:color w:val="auto"/>
          <w:sz w:val="22"/>
          <w:szCs w:val="22"/>
        </w:rPr>
        <w:t xml:space="preserve"> terms and conditions</w:t>
      </w:r>
      <w:r w:rsidR="00A231CF">
        <w:rPr>
          <w:rFonts w:asciiTheme="minorHAnsi" w:hAnsiTheme="minorHAnsi" w:cstheme="minorHAnsi"/>
          <w:color w:val="auto"/>
          <w:sz w:val="22"/>
          <w:szCs w:val="22"/>
        </w:rPr>
        <w:t xml:space="preserve"> of employment</w:t>
      </w:r>
      <w:r w:rsidR="00A231CF" w:rsidRPr="00A231CF">
        <w:rPr>
          <w:rFonts w:asciiTheme="minorHAnsi" w:hAnsiTheme="minorHAnsi" w:cstheme="minorHAnsi"/>
          <w:color w:val="auto"/>
          <w:sz w:val="22"/>
          <w:szCs w:val="22"/>
        </w:rPr>
        <w:t>;</w:t>
      </w:r>
    </w:p>
    <w:p w:rsidR="00A231CF" w:rsidRPr="00A231CF" w:rsidRDefault="00391D60" w:rsidP="00A231CF">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00A231CF">
        <w:rPr>
          <w:rFonts w:asciiTheme="minorHAnsi" w:hAnsiTheme="minorHAnsi" w:cstheme="minorHAnsi"/>
          <w:color w:val="auto"/>
          <w:sz w:val="22"/>
          <w:szCs w:val="22"/>
        </w:rPr>
        <w:t xml:space="preserve">he Scottish Government </w:t>
      </w:r>
      <w:r w:rsidR="00A231CF" w:rsidRPr="00A231CF">
        <w:rPr>
          <w:rFonts w:asciiTheme="minorHAnsi" w:hAnsiTheme="minorHAnsi" w:cstheme="minorHAnsi"/>
          <w:color w:val="auto"/>
          <w:sz w:val="22"/>
          <w:szCs w:val="22"/>
        </w:rPr>
        <w:t xml:space="preserve">has not </w:t>
      </w:r>
      <w:r w:rsidR="00A231CF">
        <w:rPr>
          <w:rFonts w:asciiTheme="minorHAnsi" w:hAnsiTheme="minorHAnsi" w:cstheme="minorHAnsi"/>
          <w:color w:val="auto"/>
          <w:sz w:val="22"/>
          <w:szCs w:val="22"/>
        </w:rPr>
        <w:t>provided</w:t>
      </w:r>
      <w:r w:rsidR="00A231CF" w:rsidRPr="00A231CF">
        <w:rPr>
          <w:rFonts w:asciiTheme="minorHAnsi" w:hAnsiTheme="minorHAnsi" w:cstheme="minorHAnsi"/>
          <w:color w:val="auto"/>
          <w:sz w:val="22"/>
          <w:szCs w:val="22"/>
        </w:rPr>
        <w:t xml:space="preserve"> confirmation </w:t>
      </w:r>
      <w:r w:rsidR="00A231CF">
        <w:rPr>
          <w:rFonts w:asciiTheme="minorHAnsi" w:hAnsiTheme="minorHAnsi" w:cstheme="minorHAnsi"/>
          <w:color w:val="auto"/>
          <w:sz w:val="22"/>
          <w:szCs w:val="22"/>
        </w:rPr>
        <w:t>tha</w:t>
      </w:r>
      <w:r w:rsidR="00A231CF" w:rsidRPr="00A231CF">
        <w:rPr>
          <w:rFonts w:asciiTheme="minorHAnsi" w:hAnsiTheme="minorHAnsi" w:cstheme="minorHAnsi"/>
          <w:color w:val="auto"/>
          <w:sz w:val="22"/>
          <w:szCs w:val="22"/>
        </w:rPr>
        <w:t>t the costs of national bargaining will be funded in the medium to longer term;</w:t>
      </w:r>
    </w:p>
    <w:p w:rsidR="00A231CF" w:rsidRPr="00A231CF" w:rsidRDefault="00391D60" w:rsidP="00A231CF">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00A231CF" w:rsidRPr="00A231CF">
        <w:rPr>
          <w:rFonts w:asciiTheme="minorHAnsi" w:hAnsiTheme="minorHAnsi" w:cstheme="minorHAnsi"/>
          <w:color w:val="auto"/>
          <w:sz w:val="22"/>
          <w:szCs w:val="22"/>
        </w:rPr>
        <w:t>he Scottish Funding Council (SFC) have confirmed that they plan to return to formula funding by 2022/2023, however, the details of the future funding model are not available as yet;</w:t>
      </w:r>
    </w:p>
    <w:p w:rsidR="00A231CF" w:rsidRPr="00A231CF" w:rsidRDefault="00391D60" w:rsidP="00A231CF">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00A231CF">
        <w:rPr>
          <w:rFonts w:asciiTheme="minorHAnsi" w:hAnsiTheme="minorHAnsi" w:cstheme="minorHAnsi"/>
          <w:color w:val="auto"/>
          <w:sz w:val="22"/>
          <w:szCs w:val="22"/>
        </w:rPr>
        <w:t xml:space="preserve">he </w:t>
      </w:r>
      <w:r w:rsidR="00A231CF" w:rsidRPr="00A231CF">
        <w:rPr>
          <w:rFonts w:asciiTheme="minorHAnsi" w:hAnsiTheme="minorHAnsi" w:cstheme="minorHAnsi"/>
          <w:color w:val="auto"/>
          <w:sz w:val="22"/>
          <w:szCs w:val="22"/>
        </w:rPr>
        <w:t xml:space="preserve">Scottish Government has indicated that funding settlements for the public sector as a whole are likely to be challenging in future years however have committed to maintaining overall Further Education teaching activity at current levels; </w:t>
      </w:r>
    </w:p>
    <w:p w:rsidR="00A231CF" w:rsidRPr="00A231CF" w:rsidRDefault="00A231CF" w:rsidP="00A231CF">
      <w:pPr>
        <w:pStyle w:val="Default"/>
        <w:numPr>
          <w:ilvl w:val="0"/>
          <w:numId w:val="5"/>
        </w:numPr>
        <w:spacing w:after="47"/>
        <w:ind w:left="1418"/>
        <w:jc w:val="both"/>
        <w:rPr>
          <w:rFonts w:asciiTheme="minorHAnsi" w:hAnsiTheme="minorHAnsi" w:cstheme="minorHAnsi"/>
          <w:color w:val="auto"/>
          <w:sz w:val="22"/>
          <w:szCs w:val="22"/>
        </w:rPr>
      </w:pPr>
      <w:r w:rsidRPr="00A231CF">
        <w:rPr>
          <w:rFonts w:asciiTheme="minorHAnsi" w:hAnsiTheme="minorHAnsi" w:cstheme="minorHAnsi"/>
          <w:color w:val="auto"/>
          <w:sz w:val="22"/>
          <w:szCs w:val="22"/>
        </w:rPr>
        <w:t>Employer pension contributions for the Scottish Teachers Superannuation Scheme (STSS) increase</w:t>
      </w:r>
      <w:r>
        <w:rPr>
          <w:rFonts w:asciiTheme="minorHAnsi" w:hAnsiTheme="minorHAnsi" w:cstheme="minorHAnsi"/>
          <w:color w:val="auto"/>
          <w:sz w:val="22"/>
          <w:szCs w:val="22"/>
        </w:rPr>
        <w:t>d by 5.8% in</w:t>
      </w:r>
      <w:r w:rsidRPr="00A231CF">
        <w:rPr>
          <w:rFonts w:asciiTheme="minorHAnsi" w:hAnsiTheme="minorHAnsi" w:cstheme="minorHAnsi"/>
          <w:color w:val="auto"/>
          <w:sz w:val="22"/>
          <w:szCs w:val="22"/>
        </w:rPr>
        <w:t xml:space="preserve"> September 2019.  Colleges have been advised </w:t>
      </w:r>
      <w:r>
        <w:rPr>
          <w:rFonts w:asciiTheme="minorHAnsi" w:hAnsiTheme="minorHAnsi" w:cstheme="minorHAnsi"/>
          <w:color w:val="auto"/>
          <w:sz w:val="22"/>
          <w:szCs w:val="22"/>
        </w:rPr>
        <w:t xml:space="preserve">(by the Scottish Funding Council) </w:t>
      </w:r>
      <w:r w:rsidRPr="00A231CF">
        <w:rPr>
          <w:rFonts w:asciiTheme="minorHAnsi" w:hAnsiTheme="minorHAnsi" w:cstheme="minorHAnsi"/>
          <w:color w:val="auto"/>
          <w:sz w:val="22"/>
          <w:szCs w:val="22"/>
        </w:rPr>
        <w:t xml:space="preserve">to assume </w:t>
      </w:r>
      <w:r>
        <w:rPr>
          <w:rFonts w:asciiTheme="minorHAnsi" w:hAnsiTheme="minorHAnsi" w:cstheme="minorHAnsi"/>
          <w:color w:val="auto"/>
          <w:sz w:val="22"/>
          <w:szCs w:val="22"/>
        </w:rPr>
        <w:t xml:space="preserve">that </w:t>
      </w:r>
      <w:proofErr w:type="gramStart"/>
      <w:r>
        <w:rPr>
          <w:rFonts w:asciiTheme="minorHAnsi" w:hAnsiTheme="minorHAnsi" w:cstheme="minorHAnsi"/>
          <w:color w:val="auto"/>
          <w:sz w:val="22"/>
          <w:szCs w:val="22"/>
        </w:rPr>
        <w:t>this additional costs</w:t>
      </w:r>
      <w:proofErr w:type="gramEnd"/>
      <w:r>
        <w:rPr>
          <w:rFonts w:asciiTheme="minorHAnsi" w:hAnsiTheme="minorHAnsi" w:cstheme="minorHAnsi"/>
          <w:color w:val="auto"/>
          <w:sz w:val="22"/>
          <w:szCs w:val="22"/>
        </w:rPr>
        <w:t xml:space="preserve"> will be supported by additional grant</w:t>
      </w:r>
      <w:r w:rsidRPr="00A231CF">
        <w:rPr>
          <w:rFonts w:asciiTheme="minorHAnsi" w:hAnsiTheme="minorHAnsi" w:cstheme="minorHAnsi"/>
          <w:color w:val="auto"/>
          <w:sz w:val="22"/>
          <w:szCs w:val="22"/>
        </w:rPr>
        <w:t>.  However SFC have not yet confirmed any funding beyond March 2020;</w:t>
      </w:r>
    </w:p>
    <w:p w:rsidR="00A231CF" w:rsidRPr="00A231CF" w:rsidRDefault="00A231CF" w:rsidP="00A231CF">
      <w:pPr>
        <w:pStyle w:val="Default"/>
        <w:numPr>
          <w:ilvl w:val="0"/>
          <w:numId w:val="5"/>
        </w:numPr>
        <w:spacing w:after="47"/>
        <w:ind w:left="1418"/>
        <w:jc w:val="both"/>
        <w:rPr>
          <w:rFonts w:asciiTheme="minorHAnsi" w:hAnsiTheme="minorHAnsi" w:cstheme="minorHAnsi"/>
          <w:color w:val="auto"/>
          <w:sz w:val="22"/>
          <w:szCs w:val="22"/>
        </w:rPr>
      </w:pPr>
      <w:r w:rsidRPr="00A231CF">
        <w:rPr>
          <w:rFonts w:asciiTheme="minorHAnsi" w:hAnsiTheme="minorHAnsi" w:cstheme="minorHAnsi"/>
          <w:color w:val="auto"/>
          <w:sz w:val="22"/>
          <w:szCs w:val="22"/>
        </w:rPr>
        <w:t xml:space="preserve">In light of recent developments in respect of public sector pensions, there is the potential for increases in employer </w:t>
      </w:r>
      <w:r>
        <w:rPr>
          <w:rFonts w:asciiTheme="minorHAnsi" w:hAnsiTheme="minorHAnsi" w:cstheme="minorHAnsi"/>
          <w:color w:val="auto"/>
          <w:sz w:val="22"/>
          <w:szCs w:val="22"/>
        </w:rPr>
        <w:t xml:space="preserve">pension </w:t>
      </w:r>
      <w:r w:rsidRPr="00A231CF">
        <w:rPr>
          <w:rFonts w:asciiTheme="minorHAnsi" w:hAnsiTheme="minorHAnsi" w:cstheme="minorHAnsi"/>
          <w:color w:val="auto"/>
          <w:sz w:val="22"/>
          <w:szCs w:val="22"/>
        </w:rPr>
        <w:t xml:space="preserve">contributions for support staff </w:t>
      </w:r>
      <w:r>
        <w:rPr>
          <w:rFonts w:asciiTheme="minorHAnsi" w:hAnsiTheme="minorHAnsi" w:cstheme="minorHAnsi"/>
          <w:color w:val="auto"/>
          <w:sz w:val="22"/>
          <w:szCs w:val="22"/>
        </w:rPr>
        <w:t xml:space="preserve">in the </w:t>
      </w:r>
      <w:r w:rsidRPr="00A231CF">
        <w:rPr>
          <w:rFonts w:asciiTheme="minorHAnsi" w:hAnsiTheme="minorHAnsi" w:cstheme="minorHAnsi"/>
          <w:color w:val="auto"/>
          <w:sz w:val="22"/>
          <w:szCs w:val="22"/>
        </w:rPr>
        <w:lastRenderedPageBreak/>
        <w:t>Lo</w:t>
      </w:r>
      <w:r>
        <w:rPr>
          <w:rFonts w:asciiTheme="minorHAnsi" w:hAnsiTheme="minorHAnsi" w:cstheme="minorHAnsi"/>
          <w:color w:val="auto"/>
          <w:sz w:val="22"/>
          <w:szCs w:val="22"/>
        </w:rPr>
        <w:t xml:space="preserve">cal Government Pension Schemes. At this stage, the potential cost, and </w:t>
      </w:r>
      <w:r w:rsidR="00396B5E">
        <w:rPr>
          <w:rFonts w:asciiTheme="minorHAnsi" w:hAnsiTheme="minorHAnsi" w:cstheme="minorHAnsi"/>
          <w:color w:val="auto"/>
          <w:sz w:val="22"/>
          <w:szCs w:val="22"/>
        </w:rPr>
        <w:t>the extent to which this might be funded,</w:t>
      </w:r>
      <w:r w:rsidRPr="00A231CF">
        <w:rPr>
          <w:rFonts w:asciiTheme="minorHAnsi" w:hAnsiTheme="minorHAnsi" w:cstheme="minorHAnsi"/>
          <w:color w:val="auto"/>
          <w:sz w:val="22"/>
          <w:szCs w:val="22"/>
        </w:rPr>
        <w:t xml:space="preserve"> </w:t>
      </w:r>
      <w:r w:rsidR="00396B5E">
        <w:rPr>
          <w:rFonts w:asciiTheme="minorHAnsi" w:hAnsiTheme="minorHAnsi" w:cstheme="minorHAnsi"/>
          <w:color w:val="auto"/>
          <w:sz w:val="22"/>
          <w:szCs w:val="22"/>
        </w:rPr>
        <w:t>is</w:t>
      </w:r>
      <w:r w:rsidRPr="00A231CF">
        <w:rPr>
          <w:rFonts w:asciiTheme="minorHAnsi" w:hAnsiTheme="minorHAnsi" w:cstheme="minorHAnsi"/>
          <w:color w:val="auto"/>
          <w:sz w:val="22"/>
          <w:szCs w:val="22"/>
        </w:rPr>
        <w:t xml:space="preserve"> unclear;</w:t>
      </w:r>
    </w:p>
    <w:p w:rsidR="00A231CF" w:rsidRPr="00A231CF" w:rsidRDefault="00A231CF" w:rsidP="00A231CF">
      <w:pPr>
        <w:pStyle w:val="Default"/>
        <w:numPr>
          <w:ilvl w:val="0"/>
          <w:numId w:val="5"/>
        </w:numPr>
        <w:spacing w:after="47"/>
        <w:ind w:left="1418"/>
        <w:jc w:val="both"/>
        <w:rPr>
          <w:rFonts w:asciiTheme="minorHAnsi" w:hAnsiTheme="minorHAnsi" w:cstheme="minorHAnsi"/>
          <w:color w:val="auto"/>
          <w:sz w:val="22"/>
          <w:szCs w:val="22"/>
        </w:rPr>
      </w:pPr>
      <w:r w:rsidRPr="00A231CF">
        <w:rPr>
          <w:rFonts w:asciiTheme="minorHAnsi" w:hAnsiTheme="minorHAnsi" w:cstheme="minorHAnsi"/>
          <w:color w:val="auto"/>
          <w:sz w:val="22"/>
          <w:szCs w:val="22"/>
        </w:rPr>
        <w:t>Anticipated ongoing reductions in school leaver population entering College due to changes in demographics;</w:t>
      </w:r>
    </w:p>
    <w:p w:rsidR="00A231CF" w:rsidRPr="00A231CF" w:rsidRDefault="00A231CF" w:rsidP="00A231CF">
      <w:pPr>
        <w:pStyle w:val="Default"/>
        <w:numPr>
          <w:ilvl w:val="0"/>
          <w:numId w:val="5"/>
        </w:numPr>
        <w:spacing w:after="47"/>
        <w:ind w:left="1418"/>
        <w:jc w:val="both"/>
        <w:rPr>
          <w:rFonts w:asciiTheme="minorHAnsi" w:hAnsiTheme="minorHAnsi" w:cstheme="minorHAnsi"/>
          <w:color w:val="auto"/>
          <w:sz w:val="22"/>
          <w:szCs w:val="22"/>
        </w:rPr>
      </w:pPr>
      <w:r w:rsidRPr="00A231CF">
        <w:rPr>
          <w:rFonts w:asciiTheme="minorHAnsi" w:hAnsiTheme="minorHAnsi" w:cstheme="minorHAnsi"/>
          <w:color w:val="auto"/>
          <w:sz w:val="22"/>
          <w:szCs w:val="22"/>
        </w:rPr>
        <w:t xml:space="preserve">The potential impact of </w:t>
      </w:r>
      <w:proofErr w:type="spellStart"/>
      <w:r w:rsidRPr="00A231CF">
        <w:rPr>
          <w:rFonts w:asciiTheme="minorHAnsi" w:hAnsiTheme="minorHAnsi" w:cstheme="minorHAnsi"/>
          <w:color w:val="auto"/>
          <w:sz w:val="22"/>
          <w:szCs w:val="22"/>
        </w:rPr>
        <w:t>Brexit</w:t>
      </w:r>
      <w:proofErr w:type="spellEnd"/>
      <w:r w:rsidRPr="00A231CF">
        <w:rPr>
          <w:rFonts w:asciiTheme="minorHAnsi" w:hAnsiTheme="minorHAnsi" w:cstheme="minorHAnsi"/>
          <w:color w:val="auto"/>
          <w:sz w:val="22"/>
          <w:szCs w:val="22"/>
        </w:rPr>
        <w:t xml:space="preserve"> remains unclear at a time when reductions in European Funding are already expected to have an adverse effect on College revenue streams in the medium term;</w:t>
      </w:r>
    </w:p>
    <w:p w:rsidR="00135F6E" w:rsidRDefault="00391D60" w:rsidP="00391D60">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The</w:t>
      </w:r>
      <w:r w:rsidR="00A231CF" w:rsidRPr="00A231C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expectation that </w:t>
      </w:r>
      <w:r w:rsidR="00A231CF" w:rsidRPr="00A231CF">
        <w:rPr>
          <w:rFonts w:asciiTheme="minorHAnsi" w:hAnsiTheme="minorHAnsi" w:cstheme="minorHAnsi"/>
          <w:color w:val="auto"/>
          <w:sz w:val="22"/>
          <w:szCs w:val="22"/>
        </w:rPr>
        <w:t xml:space="preserve">institutions </w:t>
      </w:r>
      <w:r>
        <w:rPr>
          <w:rFonts w:asciiTheme="minorHAnsi" w:hAnsiTheme="minorHAnsi" w:cstheme="minorHAnsi"/>
          <w:color w:val="auto"/>
          <w:sz w:val="22"/>
          <w:szCs w:val="22"/>
        </w:rPr>
        <w:t xml:space="preserve">will </w:t>
      </w:r>
      <w:r w:rsidR="00A231CF" w:rsidRPr="00A231CF">
        <w:rPr>
          <w:rFonts w:asciiTheme="minorHAnsi" w:hAnsiTheme="minorHAnsi" w:cstheme="minorHAnsi"/>
          <w:color w:val="auto"/>
          <w:sz w:val="22"/>
          <w:szCs w:val="22"/>
        </w:rPr>
        <w:t>deliver efficiency savings of at least 3% per annum in order to offset staff costs and non-staff costs inflation.</w:t>
      </w:r>
    </w:p>
    <w:p w:rsidR="00391D60" w:rsidRPr="00391D60" w:rsidRDefault="00391D60" w:rsidP="00C73630">
      <w:pPr>
        <w:pStyle w:val="Default"/>
        <w:numPr>
          <w:ilvl w:val="0"/>
          <w:numId w:val="5"/>
        </w:numPr>
        <w:spacing w:after="480"/>
        <w:ind w:left="1417" w:hanging="357"/>
        <w:jc w:val="both"/>
        <w:rPr>
          <w:rFonts w:asciiTheme="minorHAnsi" w:hAnsiTheme="minorHAnsi" w:cstheme="minorHAnsi"/>
          <w:color w:val="auto"/>
          <w:sz w:val="22"/>
          <w:szCs w:val="22"/>
        </w:rPr>
      </w:pPr>
      <w:r>
        <w:rPr>
          <w:rFonts w:asciiTheme="minorHAnsi" w:hAnsiTheme="minorHAnsi" w:cstheme="minorHAnsi"/>
          <w:color w:val="auto"/>
          <w:sz w:val="22"/>
          <w:szCs w:val="22"/>
        </w:rPr>
        <w:t>The expectation that performance levels will continue to improve despite the financial challenges faced by colleges.</w:t>
      </w:r>
    </w:p>
    <w:p w:rsidR="009C2B8F" w:rsidRDefault="009C2B8F" w:rsidP="00C73630">
      <w:pPr>
        <w:pStyle w:val="Paperparalevel1"/>
        <w:spacing w:before="240"/>
        <w:ind w:left="567" w:hanging="567"/>
      </w:pPr>
      <w:r>
        <w:t>What does Glasgow Region FFR data show?</w:t>
      </w:r>
    </w:p>
    <w:p w:rsidR="00DD2CED" w:rsidRPr="00DD2CED" w:rsidRDefault="00DD2CED" w:rsidP="00C73630">
      <w:pPr>
        <w:pStyle w:val="Paperparalevel2"/>
        <w:ind w:left="1134" w:hanging="567"/>
      </w:pPr>
      <w:r w:rsidRPr="00DD2CED">
        <w:t xml:space="preserve">The </w:t>
      </w:r>
      <w:r w:rsidR="00FF4D49" w:rsidRPr="00FF4D49">
        <w:rPr>
          <w:b/>
        </w:rPr>
        <w:t>A</w:t>
      </w:r>
      <w:r w:rsidR="000F7C74">
        <w:rPr>
          <w:b/>
        </w:rPr>
        <w:t>djusted Operati</w:t>
      </w:r>
      <w:r w:rsidR="00FF4D49" w:rsidRPr="00FF4D49">
        <w:rPr>
          <w:b/>
        </w:rPr>
        <w:t>n</w:t>
      </w:r>
      <w:r w:rsidR="000F7C74">
        <w:rPr>
          <w:b/>
        </w:rPr>
        <w:t>g</w:t>
      </w:r>
      <w:r w:rsidR="00FF4D49" w:rsidRPr="00FF4D49">
        <w:rPr>
          <w:b/>
        </w:rPr>
        <w:t xml:space="preserve"> Position</w:t>
      </w:r>
      <w:r w:rsidRPr="00DD2CED">
        <w:t xml:space="preserve"> is used to assess the underlying financial strength of a college and to provide comparable figures.</w:t>
      </w:r>
      <w:r>
        <w:t xml:space="preserve"> </w:t>
      </w:r>
      <w:r w:rsidRPr="00DD2CED">
        <w:t>The adjustments made are intended to exclude items that are exceptional and outside the control of the college.</w:t>
      </w:r>
    </w:p>
    <w:tbl>
      <w:tblPr>
        <w:tblStyle w:val="TableGrid"/>
        <w:tblW w:w="0" w:type="auto"/>
        <w:tblInd w:w="709" w:type="dxa"/>
        <w:tblLook w:val="04A0" w:firstRow="1" w:lastRow="0" w:firstColumn="1" w:lastColumn="0" w:noHBand="0" w:noVBand="1"/>
      </w:tblPr>
      <w:tblGrid>
        <w:gridCol w:w="2778"/>
        <w:gridCol w:w="907"/>
        <w:gridCol w:w="907"/>
        <w:gridCol w:w="907"/>
        <w:gridCol w:w="907"/>
        <w:gridCol w:w="907"/>
        <w:gridCol w:w="907"/>
      </w:tblGrid>
      <w:tr w:rsidR="004C02B8" w:rsidTr="004C02B8">
        <w:tc>
          <w:tcPr>
            <w:tcW w:w="2778" w:type="dxa"/>
          </w:tcPr>
          <w:p w:rsidR="004C02B8" w:rsidRPr="00563B82" w:rsidRDefault="004C02B8" w:rsidP="0056388A">
            <w:pPr>
              <w:pStyle w:val="Paperparalevel2"/>
              <w:numPr>
                <w:ilvl w:val="0"/>
                <w:numId w:val="0"/>
              </w:numPr>
              <w:rPr>
                <w:b/>
              </w:rPr>
            </w:pPr>
            <w:r w:rsidRPr="00563B82">
              <w:rPr>
                <w:b/>
              </w:rPr>
              <w:t>Adjusted Operating Position</w:t>
            </w:r>
          </w:p>
        </w:tc>
        <w:tc>
          <w:tcPr>
            <w:tcW w:w="907" w:type="dxa"/>
          </w:tcPr>
          <w:p w:rsidR="004C02B8" w:rsidRDefault="004C02B8" w:rsidP="0056388A">
            <w:pPr>
              <w:pStyle w:val="Paperparalevel2"/>
              <w:numPr>
                <w:ilvl w:val="0"/>
                <w:numId w:val="0"/>
              </w:numPr>
              <w:jc w:val="center"/>
            </w:pPr>
            <w:r>
              <w:t>Actual 2018-19</w:t>
            </w:r>
          </w:p>
        </w:tc>
        <w:tc>
          <w:tcPr>
            <w:tcW w:w="907" w:type="dxa"/>
          </w:tcPr>
          <w:p w:rsidR="004C02B8" w:rsidRDefault="004C02B8" w:rsidP="0056388A">
            <w:pPr>
              <w:pStyle w:val="Paperparalevel2"/>
              <w:numPr>
                <w:ilvl w:val="0"/>
                <w:numId w:val="0"/>
              </w:numPr>
              <w:jc w:val="center"/>
            </w:pPr>
            <w:r>
              <w:t>FFR 2019-20</w:t>
            </w:r>
          </w:p>
        </w:tc>
        <w:tc>
          <w:tcPr>
            <w:tcW w:w="907" w:type="dxa"/>
          </w:tcPr>
          <w:p w:rsidR="004C02B8" w:rsidRDefault="004C02B8" w:rsidP="0056388A">
            <w:pPr>
              <w:pStyle w:val="Paperparalevel2"/>
              <w:numPr>
                <w:ilvl w:val="0"/>
                <w:numId w:val="0"/>
              </w:numPr>
              <w:jc w:val="center"/>
            </w:pPr>
            <w:r>
              <w:t>FFR 2020-21</w:t>
            </w:r>
          </w:p>
        </w:tc>
        <w:tc>
          <w:tcPr>
            <w:tcW w:w="907" w:type="dxa"/>
          </w:tcPr>
          <w:p w:rsidR="004C02B8" w:rsidRDefault="004C02B8" w:rsidP="0056388A">
            <w:pPr>
              <w:pStyle w:val="Paperparalevel2"/>
              <w:numPr>
                <w:ilvl w:val="0"/>
                <w:numId w:val="0"/>
              </w:numPr>
              <w:jc w:val="center"/>
            </w:pPr>
            <w:r>
              <w:t>FFR 2021-22</w:t>
            </w:r>
          </w:p>
        </w:tc>
        <w:tc>
          <w:tcPr>
            <w:tcW w:w="907" w:type="dxa"/>
          </w:tcPr>
          <w:p w:rsidR="004C02B8" w:rsidRDefault="004C02B8" w:rsidP="0056388A">
            <w:pPr>
              <w:pStyle w:val="Paperparalevel2"/>
              <w:numPr>
                <w:ilvl w:val="0"/>
                <w:numId w:val="0"/>
              </w:numPr>
              <w:jc w:val="center"/>
            </w:pPr>
            <w:r>
              <w:t>FFR 2022-23</w:t>
            </w:r>
          </w:p>
        </w:tc>
        <w:tc>
          <w:tcPr>
            <w:tcW w:w="907" w:type="dxa"/>
          </w:tcPr>
          <w:p w:rsidR="004C02B8" w:rsidRDefault="004C02B8" w:rsidP="0056388A">
            <w:pPr>
              <w:pStyle w:val="Paperparalevel2"/>
              <w:numPr>
                <w:ilvl w:val="0"/>
                <w:numId w:val="0"/>
              </w:numPr>
              <w:jc w:val="center"/>
            </w:pPr>
            <w:r>
              <w:t>FFR 2023-24</w:t>
            </w:r>
          </w:p>
        </w:tc>
      </w:tr>
      <w:tr w:rsidR="004C02B8" w:rsidTr="004C02B8">
        <w:tc>
          <w:tcPr>
            <w:tcW w:w="2778" w:type="dxa"/>
          </w:tcPr>
          <w:p w:rsidR="004C02B8" w:rsidRDefault="004C02B8" w:rsidP="0056388A">
            <w:pPr>
              <w:pStyle w:val="Paperparalevel2"/>
              <w:numPr>
                <w:ilvl w:val="0"/>
                <w:numId w:val="0"/>
              </w:numPr>
            </w:pPr>
          </w:p>
        </w:tc>
        <w:tc>
          <w:tcPr>
            <w:tcW w:w="907" w:type="dxa"/>
          </w:tcPr>
          <w:p w:rsidR="004C02B8" w:rsidRDefault="004C02B8" w:rsidP="004C02B8">
            <w:pPr>
              <w:pStyle w:val="Paperparalevel2"/>
              <w:numPr>
                <w:ilvl w:val="0"/>
                <w:numId w:val="0"/>
              </w:numPr>
              <w:jc w:val="center"/>
            </w:pPr>
            <w:r>
              <w:t>£’000</w:t>
            </w:r>
          </w:p>
        </w:tc>
        <w:tc>
          <w:tcPr>
            <w:tcW w:w="907" w:type="dxa"/>
          </w:tcPr>
          <w:p w:rsidR="004C02B8" w:rsidRDefault="004C02B8" w:rsidP="004C02B8">
            <w:pPr>
              <w:jc w:val="center"/>
            </w:pPr>
            <w:r w:rsidRPr="004C5646">
              <w:t>£’000</w:t>
            </w:r>
          </w:p>
        </w:tc>
        <w:tc>
          <w:tcPr>
            <w:tcW w:w="907" w:type="dxa"/>
          </w:tcPr>
          <w:p w:rsidR="004C02B8" w:rsidRDefault="004C02B8" w:rsidP="004C02B8">
            <w:pPr>
              <w:jc w:val="center"/>
            </w:pPr>
            <w:r w:rsidRPr="004C5646">
              <w:t>£’000</w:t>
            </w:r>
          </w:p>
        </w:tc>
        <w:tc>
          <w:tcPr>
            <w:tcW w:w="907" w:type="dxa"/>
          </w:tcPr>
          <w:p w:rsidR="004C02B8" w:rsidRDefault="004C02B8" w:rsidP="004C02B8">
            <w:pPr>
              <w:jc w:val="center"/>
            </w:pPr>
            <w:r w:rsidRPr="004C5646">
              <w:t>£’000</w:t>
            </w:r>
          </w:p>
        </w:tc>
        <w:tc>
          <w:tcPr>
            <w:tcW w:w="907" w:type="dxa"/>
          </w:tcPr>
          <w:p w:rsidR="004C02B8" w:rsidRDefault="004C02B8" w:rsidP="004C02B8">
            <w:pPr>
              <w:jc w:val="center"/>
            </w:pPr>
            <w:r w:rsidRPr="004C5646">
              <w:t>£’000</w:t>
            </w:r>
          </w:p>
        </w:tc>
        <w:tc>
          <w:tcPr>
            <w:tcW w:w="907" w:type="dxa"/>
          </w:tcPr>
          <w:p w:rsidR="004C02B8" w:rsidRDefault="004C02B8" w:rsidP="004C02B8">
            <w:pPr>
              <w:jc w:val="center"/>
            </w:pPr>
            <w:r w:rsidRPr="004C5646">
              <w:t>£’000</w:t>
            </w:r>
          </w:p>
        </w:tc>
      </w:tr>
      <w:tr w:rsidR="00C908C4" w:rsidTr="004C02B8">
        <w:tc>
          <w:tcPr>
            <w:tcW w:w="2778" w:type="dxa"/>
          </w:tcPr>
          <w:p w:rsidR="00C908C4" w:rsidRDefault="00C908C4" w:rsidP="00C908C4">
            <w:pPr>
              <w:pStyle w:val="Paperparalevel2"/>
              <w:numPr>
                <w:ilvl w:val="0"/>
                <w:numId w:val="0"/>
              </w:numPr>
            </w:pPr>
            <w:r>
              <w:t>City of Glasgow College</w:t>
            </w:r>
          </w:p>
        </w:tc>
        <w:tc>
          <w:tcPr>
            <w:tcW w:w="907" w:type="dxa"/>
          </w:tcPr>
          <w:p w:rsidR="00C908C4" w:rsidRDefault="00C908C4" w:rsidP="0054433A">
            <w:pPr>
              <w:pStyle w:val="Paperparalevel2"/>
              <w:numPr>
                <w:ilvl w:val="0"/>
                <w:numId w:val="0"/>
              </w:numPr>
              <w:jc w:val="right"/>
            </w:pPr>
            <w:r>
              <w:t>1,</w:t>
            </w:r>
            <w:r w:rsidR="0054433A">
              <w:t>088</w:t>
            </w:r>
          </w:p>
        </w:tc>
        <w:tc>
          <w:tcPr>
            <w:tcW w:w="907" w:type="dxa"/>
          </w:tcPr>
          <w:p w:rsidR="00C908C4" w:rsidRDefault="0054433A" w:rsidP="00C908C4">
            <w:pPr>
              <w:jc w:val="right"/>
            </w:pPr>
            <w:r>
              <w:t>13</w:t>
            </w:r>
          </w:p>
        </w:tc>
        <w:tc>
          <w:tcPr>
            <w:tcW w:w="907" w:type="dxa"/>
          </w:tcPr>
          <w:p w:rsidR="00C908C4" w:rsidRDefault="0054433A" w:rsidP="00C908C4">
            <w:pPr>
              <w:jc w:val="right"/>
            </w:pPr>
            <w:r>
              <w:t>10</w:t>
            </w:r>
          </w:p>
        </w:tc>
        <w:tc>
          <w:tcPr>
            <w:tcW w:w="907" w:type="dxa"/>
          </w:tcPr>
          <w:p w:rsidR="00C908C4" w:rsidRDefault="0054433A" w:rsidP="00C908C4">
            <w:pPr>
              <w:jc w:val="right"/>
            </w:pPr>
            <w:r>
              <w:t>18</w:t>
            </w:r>
          </w:p>
        </w:tc>
        <w:tc>
          <w:tcPr>
            <w:tcW w:w="907" w:type="dxa"/>
          </w:tcPr>
          <w:p w:rsidR="00C908C4" w:rsidRDefault="0054433A" w:rsidP="00C908C4">
            <w:pPr>
              <w:jc w:val="right"/>
            </w:pPr>
            <w:r>
              <w:t>48</w:t>
            </w:r>
          </w:p>
        </w:tc>
        <w:tc>
          <w:tcPr>
            <w:tcW w:w="907" w:type="dxa"/>
          </w:tcPr>
          <w:p w:rsidR="00C908C4" w:rsidRDefault="0054433A" w:rsidP="00C908C4">
            <w:pPr>
              <w:jc w:val="right"/>
            </w:pPr>
            <w:r>
              <w:t>82</w:t>
            </w:r>
          </w:p>
        </w:tc>
      </w:tr>
      <w:tr w:rsidR="004C02B8" w:rsidTr="004C02B8">
        <w:tc>
          <w:tcPr>
            <w:tcW w:w="2778" w:type="dxa"/>
          </w:tcPr>
          <w:p w:rsidR="004C02B8" w:rsidRDefault="004C02B8" w:rsidP="0056388A">
            <w:pPr>
              <w:pStyle w:val="Paperparalevel2"/>
              <w:numPr>
                <w:ilvl w:val="0"/>
                <w:numId w:val="0"/>
              </w:numPr>
            </w:pPr>
            <w:r>
              <w:t>Glasgow Clyde College</w:t>
            </w:r>
          </w:p>
        </w:tc>
        <w:tc>
          <w:tcPr>
            <w:tcW w:w="907" w:type="dxa"/>
          </w:tcPr>
          <w:p w:rsidR="004C02B8" w:rsidRDefault="00C908C4" w:rsidP="00C908C4">
            <w:pPr>
              <w:pStyle w:val="Paperparalevel2"/>
              <w:numPr>
                <w:ilvl w:val="0"/>
                <w:numId w:val="0"/>
              </w:numPr>
              <w:jc w:val="right"/>
            </w:pPr>
            <w:r>
              <w:t>110</w:t>
            </w:r>
          </w:p>
        </w:tc>
        <w:tc>
          <w:tcPr>
            <w:tcW w:w="907" w:type="dxa"/>
          </w:tcPr>
          <w:p w:rsidR="004C02B8" w:rsidRDefault="00C908C4" w:rsidP="00C908C4">
            <w:pPr>
              <w:pStyle w:val="Paperparalevel2"/>
              <w:numPr>
                <w:ilvl w:val="0"/>
                <w:numId w:val="0"/>
              </w:numPr>
              <w:jc w:val="right"/>
            </w:pPr>
            <w:r>
              <w:t>(563)</w:t>
            </w:r>
          </w:p>
        </w:tc>
        <w:tc>
          <w:tcPr>
            <w:tcW w:w="907" w:type="dxa"/>
          </w:tcPr>
          <w:p w:rsidR="004C02B8" w:rsidRDefault="00C908C4" w:rsidP="00C908C4">
            <w:pPr>
              <w:pStyle w:val="Paperparalevel2"/>
              <w:numPr>
                <w:ilvl w:val="0"/>
                <w:numId w:val="0"/>
              </w:numPr>
              <w:jc w:val="right"/>
            </w:pPr>
            <w:r>
              <w:t>(194)</w:t>
            </w:r>
          </w:p>
        </w:tc>
        <w:tc>
          <w:tcPr>
            <w:tcW w:w="907" w:type="dxa"/>
          </w:tcPr>
          <w:p w:rsidR="004C02B8" w:rsidRDefault="00C908C4" w:rsidP="00C908C4">
            <w:pPr>
              <w:pStyle w:val="Paperparalevel2"/>
              <w:numPr>
                <w:ilvl w:val="0"/>
                <w:numId w:val="0"/>
              </w:numPr>
              <w:jc w:val="right"/>
            </w:pPr>
            <w:r>
              <w:t>(188)</w:t>
            </w:r>
          </w:p>
        </w:tc>
        <w:tc>
          <w:tcPr>
            <w:tcW w:w="907" w:type="dxa"/>
          </w:tcPr>
          <w:p w:rsidR="004C02B8" w:rsidRDefault="00C908C4" w:rsidP="00C908C4">
            <w:pPr>
              <w:pStyle w:val="Paperparalevel2"/>
              <w:numPr>
                <w:ilvl w:val="0"/>
                <w:numId w:val="0"/>
              </w:numPr>
              <w:jc w:val="right"/>
            </w:pPr>
            <w:r>
              <w:t>107</w:t>
            </w:r>
          </w:p>
        </w:tc>
        <w:tc>
          <w:tcPr>
            <w:tcW w:w="907" w:type="dxa"/>
          </w:tcPr>
          <w:p w:rsidR="004C02B8" w:rsidRDefault="00C908C4" w:rsidP="00C908C4">
            <w:pPr>
              <w:pStyle w:val="Paperparalevel2"/>
              <w:numPr>
                <w:ilvl w:val="0"/>
                <w:numId w:val="0"/>
              </w:numPr>
              <w:jc w:val="right"/>
            </w:pPr>
            <w:r>
              <w:t>13</w:t>
            </w:r>
          </w:p>
        </w:tc>
      </w:tr>
      <w:tr w:rsidR="004C02B8" w:rsidTr="004C02B8">
        <w:tc>
          <w:tcPr>
            <w:tcW w:w="2778" w:type="dxa"/>
          </w:tcPr>
          <w:p w:rsidR="004C02B8" w:rsidRDefault="004C02B8" w:rsidP="0056388A">
            <w:pPr>
              <w:pStyle w:val="Paperparalevel2"/>
              <w:numPr>
                <w:ilvl w:val="0"/>
                <w:numId w:val="0"/>
              </w:numPr>
            </w:pPr>
            <w:r>
              <w:t>Glasgow Kelvin College</w:t>
            </w:r>
          </w:p>
        </w:tc>
        <w:tc>
          <w:tcPr>
            <w:tcW w:w="907" w:type="dxa"/>
          </w:tcPr>
          <w:p w:rsidR="004C02B8" w:rsidRDefault="00C908C4" w:rsidP="00C908C4">
            <w:pPr>
              <w:pStyle w:val="Paperparalevel2"/>
              <w:numPr>
                <w:ilvl w:val="0"/>
                <w:numId w:val="0"/>
              </w:numPr>
              <w:jc w:val="right"/>
            </w:pPr>
            <w:r>
              <w:t>(540)</w:t>
            </w:r>
          </w:p>
        </w:tc>
        <w:tc>
          <w:tcPr>
            <w:tcW w:w="907" w:type="dxa"/>
          </w:tcPr>
          <w:p w:rsidR="004C02B8" w:rsidRDefault="00C908C4" w:rsidP="00C908C4">
            <w:pPr>
              <w:pStyle w:val="Paperparalevel2"/>
              <w:numPr>
                <w:ilvl w:val="0"/>
                <w:numId w:val="0"/>
              </w:numPr>
              <w:jc w:val="right"/>
            </w:pPr>
            <w:r>
              <w:t>0</w:t>
            </w:r>
          </w:p>
        </w:tc>
        <w:tc>
          <w:tcPr>
            <w:tcW w:w="907" w:type="dxa"/>
          </w:tcPr>
          <w:p w:rsidR="004C02B8" w:rsidRDefault="00C908C4" w:rsidP="00C908C4">
            <w:pPr>
              <w:pStyle w:val="Paperparalevel2"/>
              <w:numPr>
                <w:ilvl w:val="0"/>
                <w:numId w:val="0"/>
              </w:numPr>
              <w:jc w:val="right"/>
            </w:pPr>
            <w:r>
              <w:t>0</w:t>
            </w:r>
          </w:p>
        </w:tc>
        <w:tc>
          <w:tcPr>
            <w:tcW w:w="907" w:type="dxa"/>
          </w:tcPr>
          <w:p w:rsidR="004C02B8" w:rsidRDefault="00C908C4" w:rsidP="00C908C4">
            <w:pPr>
              <w:pStyle w:val="Paperparalevel2"/>
              <w:numPr>
                <w:ilvl w:val="0"/>
                <w:numId w:val="0"/>
              </w:numPr>
              <w:jc w:val="right"/>
            </w:pPr>
            <w:r>
              <w:t>0</w:t>
            </w:r>
          </w:p>
        </w:tc>
        <w:tc>
          <w:tcPr>
            <w:tcW w:w="907" w:type="dxa"/>
          </w:tcPr>
          <w:p w:rsidR="004C02B8" w:rsidRDefault="00C908C4" w:rsidP="00C908C4">
            <w:pPr>
              <w:pStyle w:val="Paperparalevel2"/>
              <w:numPr>
                <w:ilvl w:val="0"/>
                <w:numId w:val="0"/>
              </w:numPr>
              <w:jc w:val="right"/>
            </w:pPr>
            <w:r>
              <w:t>0</w:t>
            </w:r>
          </w:p>
        </w:tc>
        <w:tc>
          <w:tcPr>
            <w:tcW w:w="907" w:type="dxa"/>
          </w:tcPr>
          <w:p w:rsidR="004C02B8" w:rsidRDefault="00C908C4" w:rsidP="00C908C4">
            <w:pPr>
              <w:pStyle w:val="Paperparalevel2"/>
              <w:numPr>
                <w:ilvl w:val="0"/>
                <w:numId w:val="0"/>
              </w:numPr>
              <w:jc w:val="right"/>
            </w:pPr>
            <w:r>
              <w:t>0</w:t>
            </w:r>
          </w:p>
        </w:tc>
      </w:tr>
      <w:tr w:rsidR="004C02B8" w:rsidTr="004C02B8">
        <w:tc>
          <w:tcPr>
            <w:tcW w:w="2778" w:type="dxa"/>
          </w:tcPr>
          <w:p w:rsidR="004C02B8" w:rsidRPr="0054433A" w:rsidRDefault="004C02B8" w:rsidP="0056388A">
            <w:pPr>
              <w:pStyle w:val="Paperparalevel2"/>
              <w:numPr>
                <w:ilvl w:val="0"/>
                <w:numId w:val="0"/>
              </w:numPr>
              <w:rPr>
                <w:b/>
              </w:rPr>
            </w:pPr>
            <w:r w:rsidRPr="0054433A">
              <w:rPr>
                <w:b/>
              </w:rPr>
              <w:t>Glasgow Region</w:t>
            </w:r>
          </w:p>
        </w:tc>
        <w:tc>
          <w:tcPr>
            <w:tcW w:w="907" w:type="dxa"/>
          </w:tcPr>
          <w:p w:rsidR="004C02B8" w:rsidRPr="0054433A" w:rsidRDefault="000F7C74" w:rsidP="00C908C4">
            <w:pPr>
              <w:pStyle w:val="Paperparalevel2"/>
              <w:numPr>
                <w:ilvl w:val="0"/>
                <w:numId w:val="0"/>
              </w:numPr>
              <w:jc w:val="right"/>
              <w:rPr>
                <w:b/>
              </w:rPr>
            </w:pPr>
            <w:r>
              <w:rPr>
                <w:b/>
              </w:rPr>
              <w:fldChar w:fldCharType="begin"/>
            </w:r>
            <w:r>
              <w:rPr>
                <w:b/>
              </w:rPr>
              <w:instrText xml:space="preserve"> =SUM(ABOVE) </w:instrText>
            </w:r>
            <w:r>
              <w:rPr>
                <w:b/>
              </w:rPr>
              <w:fldChar w:fldCharType="separate"/>
            </w:r>
            <w:r>
              <w:rPr>
                <w:b/>
                <w:noProof/>
              </w:rPr>
              <w:t>658</w:t>
            </w:r>
            <w:r>
              <w:rPr>
                <w:b/>
              </w:rPr>
              <w:fldChar w:fldCharType="end"/>
            </w:r>
          </w:p>
        </w:tc>
        <w:tc>
          <w:tcPr>
            <w:tcW w:w="907" w:type="dxa"/>
          </w:tcPr>
          <w:p w:rsidR="004C02B8" w:rsidRPr="0054433A" w:rsidRDefault="00934035" w:rsidP="00C908C4">
            <w:pPr>
              <w:pStyle w:val="Paperparalevel2"/>
              <w:numPr>
                <w:ilvl w:val="0"/>
                <w:numId w:val="0"/>
              </w:numPr>
              <w:jc w:val="right"/>
              <w:rPr>
                <w:b/>
              </w:rPr>
            </w:pPr>
            <w:r>
              <w:rPr>
                <w:b/>
              </w:rPr>
              <w:t>(</w:t>
            </w:r>
            <w:r w:rsidR="0054433A" w:rsidRPr="0054433A">
              <w:rPr>
                <w:b/>
              </w:rPr>
              <w:t>550</w:t>
            </w:r>
            <w:r>
              <w:rPr>
                <w:b/>
              </w:rPr>
              <w:t>)</w:t>
            </w:r>
          </w:p>
        </w:tc>
        <w:tc>
          <w:tcPr>
            <w:tcW w:w="907" w:type="dxa"/>
          </w:tcPr>
          <w:p w:rsidR="004C02B8" w:rsidRPr="0054433A" w:rsidRDefault="0054433A" w:rsidP="00C908C4">
            <w:pPr>
              <w:pStyle w:val="Paperparalevel2"/>
              <w:numPr>
                <w:ilvl w:val="0"/>
                <w:numId w:val="0"/>
              </w:numPr>
              <w:jc w:val="right"/>
              <w:rPr>
                <w:b/>
              </w:rPr>
            </w:pPr>
            <w:r w:rsidRPr="0054433A">
              <w:rPr>
                <w:b/>
              </w:rPr>
              <w:t>(184)</w:t>
            </w:r>
          </w:p>
        </w:tc>
        <w:tc>
          <w:tcPr>
            <w:tcW w:w="907" w:type="dxa"/>
          </w:tcPr>
          <w:p w:rsidR="004C02B8" w:rsidRPr="0054433A" w:rsidRDefault="0054433A" w:rsidP="00C908C4">
            <w:pPr>
              <w:pStyle w:val="Paperparalevel2"/>
              <w:numPr>
                <w:ilvl w:val="0"/>
                <w:numId w:val="0"/>
              </w:numPr>
              <w:jc w:val="right"/>
              <w:rPr>
                <w:b/>
              </w:rPr>
            </w:pPr>
            <w:r w:rsidRPr="0054433A">
              <w:rPr>
                <w:b/>
              </w:rPr>
              <w:t>(170)</w:t>
            </w:r>
          </w:p>
        </w:tc>
        <w:tc>
          <w:tcPr>
            <w:tcW w:w="907" w:type="dxa"/>
          </w:tcPr>
          <w:p w:rsidR="004C02B8" w:rsidRPr="0054433A" w:rsidRDefault="0054433A" w:rsidP="00C908C4">
            <w:pPr>
              <w:pStyle w:val="Paperparalevel2"/>
              <w:numPr>
                <w:ilvl w:val="0"/>
                <w:numId w:val="0"/>
              </w:numPr>
              <w:jc w:val="right"/>
              <w:rPr>
                <w:b/>
              </w:rPr>
            </w:pPr>
            <w:r w:rsidRPr="0054433A">
              <w:rPr>
                <w:b/>
              </w:rPr>
              <w:t>155</w:t>
            </w:r>
          </w:p>
        </w:tc>
        <w:tc>
          <w:tcPr>
            <w:tcW w:w="907" w:type="dxa"/>
          </w:tcPr>
          <w:p w:rsidR="004C02B8" w:rsidRPr="0054433A" w:rsidRDefault="0054433A" w:rsidP="00C908C4">
            <w:pPr>
              <w:pStyle w:val="Paperparalevel2"/>
              <w:numPr>
                <w:ilvl w:val="0"/>
                <w:numId w:val="0"/>
              </w:numPr>
              <w:jc w:val="right"/>
              <w:rPr>
                <w:b/>
              </w:rPr>
            </w:pPr>
            <w:r w:rsidRPr="0054433A">
              <w:rPr>
                <w:b/>
              </w:rPr>
              <w:t>95</w:t>
            </w:r>
          </w:p>
        </w:tc>
      </w:tr>
    </w:tbl>
    <w:p w:rsidR="00DD2CED" w:rsidRDefault="00DD2CED" w:rsidP="00DD2CED">
      <w:pPr>
        <w:pStyle w:val="Paperparalevel1"/>
        <w:numPr>
          <w:ilvl w:val="0"/>
          <w:numId w:val="0"/>
        </w:numPr>
        <w:ind w:left="720" w:hanging="360"/>
        <w:rPr>
          <w:b w:val="0"/>
        </w:rPr>
      </w:pPr>
    </w:p>
    <w:p w:rsidR="0054433A" w:rsidRPr="00A231CF" w:rsidRDefault="0054433A" w:rsidP="0054433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cumulative </w:t>
      </w:r>
      <w:r w:rsidR="00934035">
        <w:rPr>
          <w:rFonts w:asciiTheme="minorHAnsi" w:hAnsiTheme="minorHAnsi" w:cstheme="minorHAnsi"/>
          <w:color w:val="auto"/>
          <w:sz w:val="22"/>
          <w:szCs w:val="22"/>
        </w:rPr>
        <w:t>Adjusted Operating Position</w:t>
      </w:r>
      <w:r>
        <w:rPr>
          <w:rFonts w:asciiTheme="minorHAnsi" w:hAnsiTheme="minorHAnsi" w:cstheme="minorHAnsi"/>
          <w:color w:val="auto"/>
          <w:sz w:val="22"/>
          <w:szCs w:val="22"/>
        </w:rPr>
        <w:t xml:space="preserve"> for the 6 years shown is </w:t>
      </w:r>
      <w:r w:rsidR="00934035">
        <w:rPr>
          <w:rFonts w:asciiTheme="minorHAnsi" w:hAnsiTheme="minorHAnsi" w:cstheme="minorHAnsi"/>
          <w:color w:val="auto"/>
          <w:sz w:val="22"/>
          <w:szCs w:val="22"/>
        </w:rPr>
        <w:t>a grand total of £4,000</w:t>
      </w:r>
      <w:r>
        <w:rPr>
          <w:rFonts w:asciiTheme="minorHAnsi" w:hAnsiTheme="minorHAnsi" w:cstheme="minorHAnsi"/>
          <w:color w:val="auto"/>
          <w:sz w:val="22"/>
          <w:szCs w:val="22"/>
        </w:rPr>
        <w:t xml:space="preserve">. </w:t>
      </w:r>
      <w:r w:rsidR="00934035">
        <w:rPr>
          <w:rFonts w:asciiTheme="minorHAnsi" w:hAnsiTheme="minorHAnsi" w:cstheme="minorHAnsi"/>
          <w:color w:val="auto"/>
          <w:sz w:val="22"/>
          <w:szCs w:val="22"/>
        </w:rPr>
        <w:t>This is a rather modest figure compared to income of £1,062,839,000 for the same period</w:t>
      </w:r>
      <w:r w:rsidR="00086D09">
        <w:rPr>
          <w:rFonts w:asciiTheme="minorHAnsi" w:hAnsiTheme="minorHAnsi" w:cstheme="minorHAnsi"/>
          <w:color w:val="auto"/>
          <w:sz w:val="22"/>
          <w:szCs w:val="22"/>
        </w:rPr>
        <w:t>.</w:t>
      </w:r>
    </w:p>
    <w:p w:rsidR="0054433A" w:rsidRDefault="00086D09" w:rsidP="0054433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This balanced position is only achieved after significant savings have been realised in the period</w:t>
      </w:r>
      <w:r w:rsidR="0056388A">
        <w:rPr>
          <w:rFonts w:asciiTheme="minorHAnsi" w:hAnsiTheme="minorHAnsi" w:cstheme="minorHAnsi"/>
          <w:color w:val="auto"/>
          <w:sz w:val="22"/>
          <w:szCs w:val="22"/>
        </w:rPr>
        <w:t xml:space="preserve"> to offset cost increases.</w:t>
      </w:r>
    </w:p>
    <w:p w:rsidR="00FF4D49" w:rsidRDefault="00FF4D49" w:rsidP="00FF4D49">
      <w:pPr>
        <w:pStyle w:val="Default"/>
        <w:spacing w:after="47"/>
        <w:jc w:val="both"/>
        <w:rPr>
          <w:rFonts w:asciiTheme="minorHAnsi" w:hAnsiTheme="minorHAnsi" w:cstheme="minorHAnsi"/>
          <w:color w:val="auto"/>
          <w:sz w:val="22"/>
          <w:szCs w:val="22"/>
        </w:rPr>
      </w:pPr>
    </w:p>
    <w:p w:rsidR="000F7C74" w:rsidRDefault="000F7C74">
      <w:pPr>
        <w:spacing w:after="200" w:line="276" w:lineRule="auto"/>
      </w:pPr>
      <w:r>
        <w:br w:type="page"/>
      </w:r>
    </w:p>
    <w:p w:rsidR="00FF4D49" w:rsidRDefault="00FF4D49" w:rsidP="00C73630">
      <w:pPr>
        <w:pStyle w:val="Paperparalevel2"/>
        <w:ind w:left="1134" w:hanging="567"/>
      </w:pPr>
      <w:r w:rsidRPr="00563B82">
        <w:lastRenderedPageBreak/>
        <w:t xml:space="preserve">Total </w:t>
      </w:r>
      <w:r w:rsidRPr="00563B82">
        <w:rPr>
          <w:b/>
        </w:rPr>
        <w:t>Income</w:t>
      </w:r>
      <w:r w:rsidRPr="00563B82">
        <w:t xml:space="preserve"> is expected </w:t>
      </w:r>
      <w:r w:rsidR="00563B82" w:rsidRPr="00563B82">
        <w:t>to remain constant over the forecast period as shown in the following table:</w:t>
      </w:r>
    </w:p>
    <w:tbl>
      <w:tblPr>
        <w:tblStyle w:val="TableGrid"/>
        <w:tblW w:w="0" w:type="auto"/>
        <w:tblInd w:w="709" w:type="dxa"/>
        <w:tblLook w:val="04A0" w:firstRow="1" w:lastRow="0" w:firstColumn="1" w:lastColumn="0" w:noHBand="0" w:noVBand="1"/>
      </w:tblPr>
      <w:tblGrid>
        <w:gridCol w:w="2778"/>
        <w:gridCol w:w="907"/>
        <w:gridCol w:w="907"/>
        <w:gridCol w:w="907"/>
        <w:gridCol w:w="907"/>
        <w:gridCol w:w="907"/>
        <w:gridCol w:w="907"/>
      </w:tblGrid>
      <w:tr w:rsidR="00563B82" w:rsidTr="0056388A">
        <w:tc>
          <w:tcPr>
            <w:tcW w:w="2778" w:type="dxa"/>
          </w:tcPr>
          <w:p w:rsidR="00563B82" w:rsidRPr="00563B82" w:rsidRDefault="00563B82" w:rsidP="0056388A">
            <w:pPr>
              <w:pStyle w:val="Paperparalevel2"/>
              <w:numPr>
                <w:ilvl w:val="0"/>
                <w:numId w:val="0"/>
              </w:numPr>
              <w:rPr>
                <w:b/>
              </w:rPr>
            </w:pPr>
            <w:r>
              <w:rPr>
                <w:b/>
              </w:rPr>
              <w:t>Total Income</w:t>
            </w:r>
          </w:p>
        </w:tc>
        <w:tc>
          <w:tcPr>
            <w:tcW w:w="907" w:type="dxa"/>
          </w:tcPr>
          <w:p w:rsidR="00563B82" w:rsidRDefault="00563B82" w:rsidP="0056388A">
            <w:pPr>
              <w:pStyle w:val="Paperparalevel2"/>
              <w:numPr>
                <w:ilvl w:val="0"/>
                <w:numId w:val="0"/>
              </w:numPr>
              <w:jc w:val="center"/>
            </w:pPr>
            <w:r>
              <w:t>Actual 2018-19</w:t>
            </w:r>
          </w:p>
        </w:tc>
        <w:tc>
          <w:tcPr>
            <w:tcW w:w="907" w:type="dxa"/>
          </w:tcPr>
          <w:p w:rsidR="00563B82" w:rsidRDefault="00563B82" w:rsidP="0056388A">
            <w:pPr>
              <w:pStyle w:val="Paperparalevel2"/>
              <w:numPr>
                <w:ilvl w:val="0"/>
                <w:numId w:val="0"/>
              </w:numPr>
              <w:jc w:val="center"/>
            </w:pPr>
            <w:r>
              <w:t>FFR 2019-20</w:t>
            </w:r>
          </w:p>
        </w:tc>
        <w:tc>
          <w:tcPr>
            <w:tcW w:w="907" w:type="dxa"/>
          </w:tcPr>
          <w:p w:rsidR="00563B82" w:rsidRDefault="00563B82" w:rsidP="0056388A">
            <w:pPr>
              <w:pStyle w:val="Paperparalevel2"/>
              <w:numPr>
                <w:ilvl w:val="0"/>
                <w:numId w:val="0"/>
              </w:numPr>
              <w:jc w:val="center"/>
            </w:pPr>
            <w:r>
              <w:t>FFR 2020-21</w:t>
            </w:r>
          </w:p>
        </w:tc>
        <w:tc>
          <w:tcPr>
            <w:tcW w:w="907" w:type="dxa"/>
          </w:tcPr>
          <w:p w:rsidR="00563B82" w:rsidRDefault="00563B82" w:rsidP="0056388A">
            <w:pPr>
              <w:pStyle w:val="Paperparalevel2"/>
              <w:numPr>
                <w:ilvl w:val="0"/>
                <w:numId w:val="0"/>
              </w:numPr>
              <w:jc w:val="center"/>
            </w:pPr>
            <w:r>
              <w:t>FFR 2021-22</w:t>
            </w:r>
          </w:p>
        </w:tc>
        <w:tc>
          <w:tcPr>
            <w:tcW w:w="907" w:type="dxa"/>
          </w:tcPr>
          <w:p w:rsidR="00563B82" w:rsidRDefault="00563B82" w:rsidP="0056388A">
            <w:pPr>
              <w:pStyle w:val="Paperparalevel2"/>
              <w:numPr>
                <w:ilvl w:val="0"/>
                <w:numId w:val="0"/>
              </w:numPr>
              <w:jc w:val="center"/>
            </w:pPr>
            <w:r>
              <w:t>FFR 2022-23</w:t>
            </w:r>
          </w:p>
        </w:tc>
        <w:tc>
          <w:tcPr>
            <w:tcW w:w="907" w:type="dxa"/>
          </w:tcPr>
          <w:p w:rsidR="00563B82" w:rsidRDefault="00563B82" w:rsidP="0056388A">
            <w:pPr>
              <w:pStyle w:val="Paperparalevel2"/>
              <w:numPr>
                <w:ilvl w:val="0"/>
                <w:numId w:val="0"/>
              </w:numPr>
              <w:jc w:val="center"/>
            </w:pPr>
            <w:r>
              <w:t>FFR 2023-24</w:t>
            </w:r>
          </w:p>
        </w:tc>
      </w:tr>
      <w:tr w:rsidR="00563B82" w:rsidTr="0056388A">
        <w:tc>
          <w:tcPr>
            <w:tcW w:w="2778" w:type="dxa"/>
          </w:tcPr>
          <w:p w:rsidR="00563B82" w:rsidRDefault="00563B82" w:rsidP="0056388A">
            <w:pPr>
              <w:pStyle w:val="Paperparalevel2"/>
              <w:numPr>
                <w:ilvl w:val="0"/>
                <w:numId w:val="0"/>
              </w:numPr>
            </w:pPr>
          </w:p>
        </w:tc>
        <w:tc>
          <w:tcPr>
            <w:tcW w:w="907" w:type="dxa"/>
          </w:tcPr>
          <w:p w:rsidR="00563B82" w:rsidRDefault="00563B82" w:rsidP="0056388A">
            <w:pPr>
              <w:pStyle w:val="Paperparalevel2"/>
              <w:numPr>
                <w:ilvl w:val="0"/>
                <w:numId w:val="0"/>
              </w:numPr>
              <w:jc w:val="center"/>
            </w:pPr>
            <w:r>
              <w:t>£’m</w:t>
            </w:r>
          </w:p>
        </w:tc>
        <w:tc>
          <w:tcPr>
            <w:tcW w:w="907" w:type="dxa"/>
          </w:tcPr>
          <w:p w:rsidR="00563B82" w:rsidRDefault="00563B82" w:rsidP="00563B82">
            <w:pPr>
              <w:jc w:val="center"/>
            </w:pPr>
            <w:r w:rsidRPr="004C5646">
              <w:t>£’</w:t>
            </w:r>
            <w:r>
              <w:t>m</w:t>
            </w:r>
          </w:p>
        </w:tc>
        <w:tc>
          <w:tcPr>
            <w:tcW w:w="907" w:type="dxa"/>
          </w:tcPr>
          <w:p w:rsidR="00563B82" w:rsidRDefault="00563B82" w:rsidP="00563B82">
            <w:pPr>
              <w:jc w:val="center"/>
            </w:pPr>
            <w:r w:rsidRPr="004C5646">
              <w:t>£’</w:t>
            </w:r>
            <w:r>
              <w:t>m</w:t>
            </w:r>
          </w:p>
        </w:tc>
        <w:tc>
          <w:tcPr>
            <w:tcW w:w="907" w:type="dxa"/>
          </w:tcPr>
          <w:p w:rsidR="00563B82" w:rsidRDefault="00563B82" w:rsidP="00563B82">
            <w:pPr>
              <w:jc w:val="center"/>
            </w:pPr>
            <w:r w:rsidRPr="004C5646">
              <w:t>£’</w:t>
            </w:r>
            <w:r>
              <w:t>m</w:t>
            </w:r>
          </w:p>
        </w:tc>
        <w:tc>
          <w:tcPr>
            <w:tcW w:w="907" w:type="dxa"/>
          </w:tcPr>
          <w:p w:rsidR="00563B82" w:rsidRDefault="00563B82" w:rsidP="00563B82">
            <w:pPr>
              <w:jc w:val="center"/>
            </w:pPr>
            <w:r w:rsidRPr="004C5646">
              <w:t>£’</w:t>
            </w:r>
            <w:r>
              <w:t>m</w:t>
            </w:r>
          </w:p>
        </w:tc>
        <w:tc>
          <w:tcPr>
            <w:tcW w:w="907" w:type="dxa"/>
          </w:tcPr>
          <w:p w:rsidR="00563B82" w:rsidRDefault="00563B82" w:rsidP="00563B82">
            <w:pPr>
              <w:jc w:val="center"/>
            </w:pPr>
            <w:r w:rsidRPr="004C5646">
              <w:t>£’</w:t>
            </w:r>
            <w:r>
              <w:t>m</w:t>
            </w:r>
          </w:p>
        </w:tc>
      </w:tr>
      <w:tr w:rsidR="00563B82" w:rsidTr="0056388A">
        <w:tc>
          <w:tcPr>
            <w:tcW w:w="2778" w:type="dxa"/>
          </w:tcPr>
          <w:p w:rsidR="00563B82" w:rsidRDefault="00563B82" w:rsidP="0056388A">
            <w:pPr>
              <w:pStyle w:val="Paperparalevel2"/>
              <w:numPr>
                <w:ilvl w:val="0"/>
                <w:numId w:val="0"/>
              </w:numPr>
            </w:pPr>
            <w:r>
              <w:t>City of Glasgow College</w:t>
            </w:r>
          </w:p>
        </w:tc>
        <w:tc>
          <w:tcPr>
            <w:tcW w:w="907" w:type="dxa"/>
          </w:tcPr>
          <w:p w:rsidR="00563B82" w:rsidRDefault="00563B82" w:rsidP="0056388A">
            <w:pPr>
              <w:pStyle w:val="Paperparalevel2"/>
              <w:numPr>
                <w:ilvl w:val="0"/>
                <w:numId w:val="0"/>
              </w:numPr>
              <w:jc w:val="right"/>
            </w:pPr>
            <w:r>
              <w:t>92.0</w:t>
            </w:r>
          </w:p>
        </w:tc>
        <w:tc>
          <w:tcPr>
            <w:tcW w:w="907" w:type="dxa"/>
          </w:tcPr>
          <w:p w:rsidR="00563B82" w:rsidRDefault="00563B82" w:rsidP="0056388A">
            <w:pPr>
              <w:jc w:val="right"/>
            </w:pPr>
            <w:r>
              <w:t>93.5</w:t>
            </w:r>
          </w:p>
        </w:tc>
        <w:tc>
          <w:tcPr>
            <w:tcW w:w="907" w:type="dxa"/>
          </w:tcPr>
          <w:p w:rsidR="00563B82" w:rsidRDefault="00563B82" w:rsidP="0056388A">
            <w:pPr>
              <w:jc w:val="right"/>
            </w:pPr>
            <w:r>
              <w:t>92.0</w:t>
            </w:r>
          </w:p>
        </w:tc>
        <w:tc>
          <w:tcPr>
            <w:tcW w:w="907" w:type="dxa"/>
          </w:tcPr>
          <w:p w:rsidR="00563B82" w:rsidRDefault="00563B82" w:rsidP="0056388A">
            <w:pPr>
              <w:jc w:val="right"/>
            </w:pPr>
            <w:r>
              <w:t>92.5</w:t>
            </w:r>
          </w:p>
        </w:tc>
        <w:tc>
          <w:tcPr>
            <w:tcW w:w="907" w:type="dxa"/>
          </w:tcPr>
          <w:p w:rsidR="00563B82" w:rsidRDefault="00563B82" w:rsidP="0056388A">
            <w:pPr>
              <w:jc w:val="right"/>
            </w:pPr>
            <w:r>
              <w:t>92.6</w:t>
            </w:r>
          </w:p>
        </w:tc>
        <w:tc>
          <w:tcPr>
            <w:tcW w:w="907" w:type="dxa"/>
          </w:tcPr>
          <w:p w:rsidR="00563B82" w:rsidRDefault="00563B82" w:rsidP="0056388A">
            <w:pPr>
              <w:jc w:val="right"/>
            </w:pPr>
            <w:r>
              <w:t>93.2</w:t>
            </w:r>
          </w:p>
        </w:tc>
      </w:tr>
      <w:tr w:rsidR="00563B82" w:rsidTr="0056388A">
        <w:tc>
          <w:tcPr>
            <w:tcW w:w="2778" w:type="dxa"/>
          </w:tcPr>
          <w:p w:rsidR="00563B82" w:rsidRDefault="00563B82" w:rsidP="0056388A">
            <w:pPr>
              <w:pStyle w:val="Paperparalevel2"/>
              <w:numPr>
                <w:ilvl w:val="0"/>
                <w:numId w:val="0"/>
              </w:numPr>
            </w:pPr>
            <w:r>
              <w:t>Glasgow Clyde College</w:t>
            </w:r>
          </w:p>
        </w:tc>
        <w:tc>
          <w:tcPr>
            <w:tcW w:w="907" w:type="dxa"/>
          </w:tcPr>
          <w:p w:rsidR="00563B82" w:rsidRDefault="00563B82" w:rsidP="0056388A">
            <w:pPr>
              <w:pStyle w:val="Paperparalevel2"/>
              <w:numPr>
                <w:ilvl w:val="0"/>
                <w:numId w:val="0"/>
              </w:numPr>
              <w:jc w:val="right"/>
            </w:pPr>
            <w:r>
              <w:t>49.0</w:t>
            </w:r>
          </w:p>
        </w:tc>
        <w:tc>
          <w:tcPr>
            <w:tcW w:w="907" w:type="dxa"/>
          </w:tcPr>
          <w:p w:rsidR="00563B82" w:rsidRDefault="00563B82" w:rsidP="0056388A">
            <w:pPr>
              <w:pStyle w:val="Paperparalevel2"/>
              <w:numPr>
                <w:ilvl w:val="0"/>
                <w:numId w:val="0"/>
              </w:numPr>
              <w:jc w:val="right"/>
            </w:pPr>
            <w:r>
              <w:t>51.3</w:t>
            </w:r>
          </w:p>
        </w:tc>
        <w:tc>
          <w:tcPr>
            <w:tcW w:w="907" w:type="dxa"/>
          </w:tcPr>
          <w:p w:rsidR="00563B82" w:rsidRDefault="00563B82" w:rsidP="0056388A">
            <w:pPr>
              <w:pStyle w:val="Paperparalevel2"/>
              <w:numPr>
                <w:ilvl w:val="0"/>
                <w:numId w:val="0"/>
              </w:numPr>
              <w:jc w:val="right"/>
            </w:pPr>
            <w:r>
              <w:t>53.0</w:t>
            </w:r>
          </w:p>
        </w:tc>
        <w:tc>
          <w:tcPr>
            <w:tcW w:w="907" w:type="dxa"/>
          </w:tcPr>
          <w:p w:rsidR="00563B82" w:rsidRDefault="00563B82" w:rsidP="0056388A">
            <w:pPr>
              <w:pStyle w:val="Paperparalevel2"/>
              <w:numPr>
                <w:ilvl w:val="0"/>
                <w:numId w:val="0"/>
              </w:numPr>
              <w:jc w:val="right"/>
            </w:pPr>
            <w:r>
              <w:t>54.2</w:t>
            </w:r>
          </w:p>
        </w:tc>
        <w:tc>
          <w:tcPr>
            <w:tcW w:w="907" w:type="dxa"/>
          </w:tcPr>
          <w:p w:rsidR="00563B82" w:rsidRDefault="00563B82" w:rsidP="0056388A">
            <w:pPr>
              <w:pStyle w:val="Paperparalevel2"/>
              <w:numPr>
                <w:ilvl w:val="0"/>
                <w:numId w:val="0"/>
              </w:numPr>
              <w:jc w:val="right"/>
            </w:pPr>
            <w:r>
              <w:t>52.6</w:t>
            </w:r>
          </w:p>
        </w:tc>
        <w:tc>
          <w:tcPr>
            <w:tcW w:w="907" w:type="dxa"/>
          </w:tcPr>
          <w:p w:rsidR="00563B82" w:rsidRDefault="00563B82" w:rsidP="0056388A">
            <w:pPr>
              <w:pStyle w:val="Paperparalevel2"/>
              <w:numPr>
                <w:ilvl w:val="0"/>
                <w:numId w:val="0"/>
              </w:numPr>
              <w:jc w:val="right"/>
            </w:pPr>
            <w:r>
              <w:t>52.6</w:t>
            </w:r>
          </w:p>
        </w:tc>
      </w:tr>
      <w:tr w:rsidR="00563B82" w:rsidTr="0056388A">
        <w:tc>
          <w:tcPr>
            <w:tcW w:w="2778" w:type="dxa"/>
          </w:tcPr>
          <w:p w:rsidR="00563B82" w:rsidRDefault="00563B82" w:rsidP="0056388A">
            <w:pPr>
              <w:pStyle w:val="Paperparalevel2"/>
              <w:numPr>
                <w:ilvl w:val="0"/>
                <w:numId w:val="0"/>
              </w:numPr>
            </w:pPr>
            <w:r>
              <w:t>Glasgow Kelvin College</w:t>
            </w:r>
          </w:p>
        </w:tc>
        <w:tc>
          <w:tcPr>
            <w:tcW w:w="907" w:type="dxa"/>
          </w:tcPr>
          <w:p w:rsidR="00563B82" w:rsidRDefault="00563B82" w:rsidP="0056388A">
            <w:pPr>
              <w:pStyle w:val="Paperparalevel2"/>
              <w:numPr>
                <w:ilvl w:val="0"/>
                <w:numId w:val="0"/>
              </w:numPr>
              <w:jc w:val="right"/>
            </w:pPr>
            <w:r>
              <w:t>30.7</w:t>
            </w:r>
          </w:p>
        </w:tc>
        <w:tc>
          <w:tcPr>
            <w:tcW w:w="907" w:type="dxa"/>
          </w:tcPr>
          <w:p w:rsidR="00563B82" w:rsidRDefault="000F7C74" w:rsidP="0056388A">
            <w:pPr>
              <w:pStyle w:val="Paperparalevel2"/>
              <w:numPr>
                <w:ilvl w:val="0"/>
                <w:numId w:val="0"/>
              </w:numPr>
              <w:jc w:val="right"/>
            </w:pPr>
            <w:r>
              <w:t>32.4</w:t>
            </w:r>
          </w:p>
        </w:tc>
        <w:tc>
          <w:tcPr>
            <w:tcW w:w="907" w:type="dxa"/>
          </w:tcPr>
          <w:p w:rsidR="00563B82" w:rsidRDefault="000F7C74" w:rsidP="0056388A">
            <w:pPr>
              <w:pStyle w:val="Paperparalevel2"/>
              <w:numPr>
                <w:ilvl w:val="0"/>
                <w:numId w:val="0"/>
              </w:numPr>
              <w:jc w:val="right"/>
            </w:pPr>
            <w:r>
              <w:t>32.3</w:t>
            </w:r>
          </w:p>
        </w:tc>
        <w:tc>
          <w:tcPr>
            <w:tcW w:w="907" w:type="dxa"/>
          </w:tcPr>
          <w:p w:rsidR="00563B82" w:rsidRDefault="000F7C74" w:rsidP="0056388A">
            <w:pPr>
              <w:pStyle w:val="Paperparalevel2"/>
              <w:numPr>
                <w:ilvl w:val="0"/>
                <w:numId w:val="0"/>
              </w:numPr>
              <w:jc w:val="right"/>
            </w:pPr>
            <w:r>
              <w:t>32.4</w:t>
            </w:r>
          </w:p>
        </w:tc>
        <w:tc>
          <w:tcPr>
            <w:tcW w:w="907" w:type="dxa"/>
          </w:tcPr>
          <w:p w:rsidR="00563B82" w:rsidRDefault="000F7C74" w:rsidP="0056388A">
            <w:pPr>
              <w:pStyle w:val="Paperparalevel2"/>
              <w:numPr>
                <w:ilvl w:val="0"/>
                <w:numId w:val="0"/>
              </w:numPr>
              <w:jc w:val="right"/>
            </w:pPr>
            <w:r>
              <w:t>31.9</w:t>
            </w:r>
          </w:p>
        </w:tc>
        <w:tc>
          <w:tcPr>
            <w:tcW w:w="907" w:type="dxa"/>
          </w:tcPr>
          <w:p w:rsidR="00563B82" w:rsidRDefault="000F7C74" w:rsidP="0056388A">
            <w:pPr>
              <w:pStyle w:val="Paperparalevel2"/>
              <w:numPr>
                <w:ilvl w:val="0"/>
                <w:numId w:val="0"/>
              </w:numPr>
              <w:jc w:val="right"/>
            </w:pPr>
            <w:r>
              <w:t>31.8</w:t>
            </w:r>
          </w:p>
        </w:tc>
      </w:tr>
      <w:tr w:rsidR="00563B82" w:rsidTr="0056388A">
        <w:tc>
          <w:tcPr>
            <w:tcW w:w="2778" w:type="dxa"/>
          </w:tcPr>
          <w:p w:rsidR="00563B82" w:rsidRPr="0054433A" w:rsidRDefault="00563B82" w:rsidP="0056388A">
            <w:pPr>
              <w:pStyle w:val="Paperparalevel2"/>
              <w:numPr>
                <w:ilvl w:val="0"/>
                <w:numId w:val="0"/>
              </w:numPr>
              <w:rPr>
                <w:b/>
              </w:rPr>
            </w:pPr>
            <w:r w:rsidRPr="0054433A">
              <w:rPr>
                <w:b/>
              </w:rPr>
              <w:t>Glasgow Region</w:t>
            </w:r>
          </w:p>
        </w:tc>
        <w:tc>
          <w:tcPr>
            <w:tcW w:w="907" w:type="dxa"/>
          </w:tcPr>
          <w:p w:rsidR="00563B82" w:rsidRPr="0054433A" w:rsidRDefault="000F7C74"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Pr>
                <w:b/>
                <w:noProof/>
              </w:rPr>
              <w:t>171.7</w:t>
            </w:r>
            <w:r>
              <w:rPr>
                <w:b/>
              </w:rPr>
              <w:fldChar w:fldCharType="end"/>
            </w:r>
          </w:p>
        </w:tc>
        <w:tc>
          <w:tcPr>
            <w:tcW w:w="907" w:type="dxa"/>
          </w:tcPr>
          <w:p w:rsidR="00563B82" w:rsidRPr="0054433A" w:rsidRDefault="000F7C74"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Pr>
                <w:b/>
                <w:noProof/>
              </w:rPr>
              <w:t>177.2</w:t>
            </w:r>
            <w:r>
              <w:rPr>
                <w:b/>
              </w:rPr>
              <w:fldChar w:fldCharType="end"/>
            </w:r>
          </w:p>
        </w:tc>
        <w:tc>
          <w:tcPr>
            <w:tcW w:w="907" w:type="dxa"/>
          </w:tcPr>
          <w:p w:rsidR="00563B82" w:rsidRPr="0054433A" w:rsidRDefault="000F7C74"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Pr>
                <w:b/>
                <w:noProof/>
              </w:rPr>
              <w:t>177.3</w:t>
            </w:r>
            <w:r>
              <w:rPr>
                <w:b/>
              </w:rPr>
              <w:fldChar w:fldCharType="end"/>
            </w:r>
          </w:p>
        </w:tc>
        <w:tc>
          <w:tcPr>
            <w:tcW w:w="907" w:type="dxa"/>
          </w:tcPr>
          <w:p w:rsidR="00563B82" w:rsidRPr="0054433A" w:rsidRDefault="000F7C74"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Pr>
                <w:b/>
                <w:noProof/>
              </w:rPr>
              <w:t>179.1</w:t>
            </w:r>
            <w:r>
              <w:rPr>
                <w:b/>
              </w:rPr>
              <w:fldChar w:fldCharType="end"/>
            </w:r>
          </w:p>
        </w:tc>
        <w:tc>
          <w:tcPr>
            <w:tcW w:w="907" w:type="dxa"/>
          </w:tcPr>
          <w:p w:rsidR="00563B82" w:rsidRPr="0054433A" w:rsidRDefault="000F7C74"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Pr>
                <w:b/>
                <w:noProof/>
              </w:rPr>
              <w:t>177.1</w:t>
            </w:r>
            <w:r>
              <w:rPr>
                <w:b/>
              </w:rPr>
              <w:fldChar w:fldCharType="end"/>
            </w:r>
          </w:p>
        </w:tc>
        <w:tc>
          <w:tcPr>
            <w:tcW w:w="907" w:type="dxa"/>
          </w:tcPr>
          <w:p w:rsidR="00563B82" w:rsidRPr="0054433A" w:rsidRDefault="000F7C74"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Pr>
                <w:b/>
                <w:noProof/>
              </w:rPr>
              <w:t>177.6</w:t>
            </w:r>
            <w:r>
              <w:rPr>
                <w:b/>
              </w:rPr>
              <w:fldChar w:fldCharType="end"/>
            </w:r>
          </w:p>
        </w:tc>
      </w:tr>
    </w:tbl>
    <w:p w:rsidR="00563B82" w:rsidRPr="00563B82" w:rsidRDefault="00563B82" w:rsidP="00563B82">
      <w:pPr>
        <w:pStyle w:val="Paperparalevel2"/>
        <w:numPr>
          <w:ilvl w:val="0"/>
          <w:numId w:val="0"/>
        </w:numPr>
        <w:ind w:left="709"/>
      </w:pPr>
    </w:p>
    <w:p w:rsidR="00563B82" w:rsidRDefault="000F7C74" w:rsidP="000F7C74">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Although the overall position is fairly constant there are some increases within individual colleges between one year and the next. These changes are due to </w:t>
      </w:r>
      <w:r w:rsidR="0056388A">
        <w:rPr>
          <w:rFonts w:asciiTheme="minorHAnsi" w:hAnsiTheme="minorHAnsi" w:cstheme="minorHAnsi"/>
          <w:color w:val="auto"/>
          <w:sz w:val="22"/>
          <w:szCs w:val="22"/>
        </w:rPr>
        <w:t>predicted growth</w:t>
      </w:r>
      <w:r>
        <w:rPr>
          <w:rFonts w:asciiTheme="minorHAnsi" w:hAnsiTheme="minorHAnsi" w:cstheme="minorHAnsi"/>
          <w:color w:val="auto"/>
          <w:sz w:val="22"/>
          <w:szCs w:val="22"/>
        </w:rPr>
        <w:t xml:space="preserve"> in commercial income/education contracts or grants anticipated from Arms’ Length Foundations.</w:t>
      </w:r>
    </w:p>
    <w:p w:rsidR="00FF4D49" w:rsidRPr="00391D60" w:rsidRDefault="00FF4D49" w:rsidP="0054433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Over the forecast period 2019-20 to 2023-24, the colleges have anticipated receiving £2.9m of revenue funding and £8.9m of capital funding from Arms’ Length Foundations. Without this level of investment the </w:t>
      </w:r>
      <w:r w:rsidR="000F7C74" w:rsidRPr="000F7C74">
        <w:rPr>
          <w:rFonts w:asciiTheme="minorHAnsi" w:hAnsiTheme="minorHAnsi" w:cstheme="minorHAnsi"/>
          <w:b/>
          <w:color w:val="auto"/>
          <w:sz w:val="22"/>
          <w:szCs w:val="22"/>
        </w:rPr>
        <w:t>Adjusted Operating Position</w:t>
      </w:r>
      <w:r>
        <w:rPr>
          <w:rFonts w:asciiTheme="minorHAnsi" w:hAnsiTheme="minorHAnsi" w:cstheme="minorHAnsi"/>
          <w:color w:val="auto"/>
          <w:sz w:val="22"/>
          <w:szCs w:val="22"/>
        </w:rPr>
        <w:t xml:space="preserve"> would be worse.</w:t>
      </w:r>
    </w:p>
    <w:p w:rsidR="00DD2CED" w:rsidRDefault="00DD2CED" w:rsidP="005D74EF">
      <w:pPr>
        <w:pStyle w:val="Paperparalevel1"/>
        <w:numPr>
          <w:ilvl w:val="0"/>
          <w:numId w:val="0"/>
        </w:numPr>
        <w:spacing w:after="0"/>
        <w:ind w:left="714" w:hanging="357"/>
      </w:pPr>
    </w:p>
    <w:p w:rsidR="005D74EF" w:rsidRDefault="005D74EF" w:rsidP="00C73630">
      <w:pPr>
        <w:pStyle w:val="Paperparalevel2"/>
        <w:ind w:left="1134" w:hanging="567"/>
      </w:pPr>
      <w:r w:rsidRPr="00563B82">
        <w:t xml:space="preserve">Total </w:t>
      </w:r>
      <w:r>
        <w:rPr>
          <w:b/>
        </w:rPr>
        <w:t>Expenditure</w:t>
      </w:r>
      <w:r w:rsidRPr="00563B82">
        <w:t xml:space="preserve"> is expected to remain constant over the forecast period as shown in the following table:</w:t>
      </w:r>
    </w:p>
    <w:tbl>
      <w:tblPr>
        <w:tblStyle w:val="TableGrid"/>
        <w:tblW w:w="0" w:type="auto"/>
        <w:tblInd w:w="709" w:type="dxa"/>
        <w:tblLook w:val="04A0" w:firstRow="1" w:lastRow="0" w:firstColumn="1" w:lastColumn="0" w:noHBand="0" w:noVBand="1"/>
      </w:tblPr>
      <w:tblGrid>
        <w:gridCol w:w="2778"/>
        <w:gridCol w:w="907"/>
        <w:gridCol w:w="907"/>
        <w:gridCol w:w="907"/>
        <w:gridCol w:w="907"/>
        <w:gridCol w:w="907"/>
        <w:gridCol w:w="907"/>
      </w:tblGrid>
      <w:tr w:rsidR="005D74EF" w:rsidTr="0056388A">
        <w:tc>
          <w:tcPr>
            <w:tcW w:w="2778" w:type="dxa"/>
          </w:tcPr>
          <w:p w:rsidR="005D74EF" w:rsidRPr="00563B82" w:rsidRDefault="005D74EF" w:rsidP="0056388A">
            <w:pPr>
              <w:pStyle w:val="Paperparalevel2"/>
              <w:numPr>
                <w:ilvl w:val="0"/>
                <w:numId w:val="0"/>
              </w:numPr>
              <w:rPr>
                <w:b/>
              </w:rPr>
            </w:pPr>
            <w:r>
              <w:rPr>
                <w:b/>
              </w:rPr>
              <w:t>Total Expenditure (</w:t>
            </w:r>
            <w:proofErr w:type="spellStart"/>
            <w:r>
              <w:rPr>
                <w:b/>
              </w:rPr>
              <w:t>exc</w:t>
            </w:r>
            <w:proofErr w:type="spellEnd"/>
            <w:r>
              <w:rPr>
                <w:b/>
              </w:rPr>
              <w:t xml:space="preserve"> Exceptional Items)</w:t>
            </w:r>
          </w:p>
        </w:tc>
        <w:tc>
          <w:tcPr>
            <w:tcW w:w="907" w:type="dxa"/>
          </w:tcPr>
          <w:p w:rsidR="005D74EF" w:rsidRDefault="005D74EF" w:rsidP="0056388A">
            <w:pPr>
              <w:pStyle w:val="Paperparalevel2"/>
              <w:numPr>
                <w:ilvl w:val="0"/>
                <w:numId w:val="0"/>
              </w:numPr>
              <w:jc w:val="center"/>
            </w:pPr>
            <w:r>
              <w:t>Actual 2018-19</w:t>
            </w:r>
          </w:p>
        </w:tc>
        <w:tc>
          <w:tcPr>
            <w:tcW w:w="907" w:type="dxa"/>
          </w:tcPr>
          <w:p w:rsidR="005D74EF" w:rsidRDefault="005D74EF" w:rsidP="0056388A">
            <w:pPr>
              <w:pStyle w:val="Paperparalevel2"/>
              <w:numPr>
                <w:ilvl w:val="0"/>
                <w:numId w:val="0"/>
              </w:numPr>
              <w:jc w:val="center"/>
            </w:pPr>
            <w:r>
              <w:t>FFR 2019-20</w:t>
            </w:r>
          </w:p>
        </w:tc>
        <w:tc>
          <w:tcPr>
            <w:tcW w:w="907" w:type="dxa"/>
          </w:tcPr>
          <w:p w:rsidR="005D74EF" w:rsidRDefault="005D74EF" w:rsidP="0056388A">
            <w:pPr>
              <w:pStyle w:val="Paperparalevel2"/>
              <w:numPr>
                <w:ilvl w:val="0"/>
                <w:numId w:val="0"/>
              </w:numPr>
              <w:jc w:val="center"/>
            </w:pPr>
            <w:r>
              <w:t>FFR 2020-21</w:t>
            </w:r>
          </w:p>
        </w:tc>
        <w:tc>
          <w:tcPr>
            <w:tcW w:w="907" w:type="dxa"/>
          </w:tcPr>
          <w:p w:rsidR="005D74EF" w:rsidRDefault="005D74EF" w:rsidP="0056388A">
            <w:pPr>
              <w:pStyle w:val="Paperparalevel2"/>
              <w:numPr>
                <w:ilvl w:val="0"/>
                <w:numId w:val="0"/>
              </w:numPr>
              <w:jc w:val="center"/>
            </w:pPr>
            <w:r>
              <w:t>FFR 2021-22</w:t>
            </w:r>
          </w:p>
        </w:tc>
        <w:tc>
          <w:tcPr>
            <w:tcW w:w="907" w:type="dxa"/>
          </w:tcPr>
          <w:p w:rsidR="005D74EF" w:rsidRDefault="005D74EF" w:rsidP="0056388A">
            <w:pPr>
              <w:pStyle w:val="Paperparalevel2"/>
              <w:numPr>
                <w:ilvl w:val="0"/>
                <w:numId w:val="0"/>
              </w:numPr>
              <w:jc w:val="center"/>
            </w:pPr>
            <w:r>
              <w:t>FFR 2022-23</w:t>
            </w:r>
          </w:p>
        </w:tc>
        <w:tc>
          <w:tcPr>
            <w:tcW w:w="907" w:type="dxa"/>
          </w:tcPr>
          <w:p w:rsidR="005D74EF" w:rsidRDefault="005D74EF" w:rsidP="0056388A">
            <w:pPr>
              <w:pStyle w:val="Paperparalevel2"/>
              <w:numPr>
                <w:ilvl w:val="0"/>
                <w:numId w:val="0"/>
              </w:numPr>
              <w:jc w:val="center"/>
            </w:pPr>
            <w:r>
              <w:t>FFR 2023-24</w:t>
            </w:r>
          </w:p>
        </w:tc>
      </w:tr>
      <w:tr w:rsidR="005D74EF" w:rsidTr="0056388A">
        <w:tc>
          <w:tcPr>
            <w:tcW w:w="2778" w:type="dxa"/>
          </w:tcPr>
          <w:p w:rsidR="005D74EF" w:rsidRDefault="005D74EF" w:rsidP="0056388A">
            <w:pPr>
              <w:pStyle w:val="Paperparalevel2"/>
              <w:numPr>
                <w:ilvl w:val="0"/>
                <w:numId w:val="0"/>
              </w:numPr>
            </w:pPr>
          </w:p>
        </w:tc>
        <w:tc>
          <w:tcPr>
            <w:tcW w:w="907" w:type="dxa"/>
          </w:tcPr>
          <w:p w:rsidR="005D74EF" w:rsidRDefault="005D74EF" w:rsidP="0056388A">
            <w:pPr>
              <w:pStyle w:val="Paperparalevel2"/>
              <w:numPr>
                <w:ilvl w:val="0"/>
                <w:numId w:val="0"/>
              </w:numPr>
              <w:jc w:val="center"/>
            </w:pPr>
            <w:r>
              <w:t>£’m</w:t>
            </w:r>
          </w:p>
        </w:tc>
        <w:tc>
          <w:tcPr>
            <w:tcW w:w="907" w:type="dxa"/>
          </w:tcPr>
          <w:p w:rsidR="005D74EF" w:rsidRDefault="005D74EF" w:rsidP="0056388A">
            <w:pPr>
              <w:jc w:val="center"/>
            </w:pPr>
            <w:r w:rsidRPr="004C5646">
              <w:t>£’</w:t>
            </w:r>
            <w:r>
              <w:t>m</w:t>
            </w:r>
          </w:p>
        </w:tc>
        <w:tc>
          <w:tcPr>
            <w:tcW w:w="907" w:type="dxa"/>
          </w:tcPr>
          <w:p w:rsidR="005D74EF" w:rsidRDefault="005D74EF" w:rsidP="0056388A">
            <w:pPr>
              <w:jc w:val="center"/>
            </w:pPr>
            <w:r w:rsidRPr="004C5646">
              <w:t>£’</w:t>
            </w:r>
            <w:r>
              <w:t>m</w:t>
            </w:r>
          </w:p>
        </w:tc>
        <w:tc>
          <w:tcPr>
            <w:tcW w:w="907" w:type="dxa"/>
          </w:tcPr>
          <w:p w:rsidR="005D74EF" w:rsidRDefault="005D74EF" w:rsidP="0056388A">
            <w:pPr>
              <w:jc w:val="center"/>
            </w:pPr>
            <w:r w:rsidRPr="004C5646">
              <w:t>£’</w:t>
            </w:r>
            <w:r>
              <w:t>m</w:t>
            </w:r>
          </w:p>
        </w:tc>
        <w:tc>
          <w:tcPr>
            <w:tcW w:w="907" w:type="dxa"/>
          </w:tcPr>
          <w:p w:rsidR="005D74EF" w:rsidRDefault="005D74EF" w:rsidP="0056388A">
            <w:pPr>
              <w:jc w:val="center"/>
            </w:pPr>
            <w:r w:rsidRPr="004C5646">
              <w:t>£’</w:t>
            </w:r>
            <w:r>
              <w:t>m</w:t>
            </w:r>
          </w:p>
        </w:tc>
        <w:tc>
          <w:tcPr>
            <w:tcW w:w="907" w:type="dxa"/>
          </w:tcPr>
          <w:p w:rsidR="005D74EF" w:rsidRDefault="005D74EF" w:rsidP="0056388A">
            <w:pPr>
              <w:jc w:val="center"/>
            </w:pPr>
            <w:r w:rsidRPr="004C5646">
              <w:t>£’</w:t>
            </w:r>
            <w:r>
              <w:t>m</w:t>
            </w:r>
          </w:p>
        </w:tc>
      </w:tr>
      <w:tr w:rsidR="005D74EF" w:rsidTr="0056388A">
        <w:tc>
          <w:tcPr>
            <w:tcW w:w="2778" w:type="dxa"/>
          </w:tcPr>
          <w:p w:rsidR="005D74EF" w:rsidRDefault="005D74EF" w:rsidP="0056388A">
            <w:pPr>
              <w:pStyle w:val="Paperparalevel2"/>
              <w:numPr>
                <w:ilvl w:val="0"/>
                <w:numId w:val="0"/>
              </w:numPr>
            </w:pPr>
            <w:r>
              <w:t>City of Glasgow College</w:t>
            </w:r>
          </w:p>
        </w:tc>
        <w:tc>
          <w:tcPr>
            <w:tcW w:w="907" w:type="dxa"/>
          </w:tcPr>
          <w:p w:rsidR="005D74EF" w:rsidRDefault="0056388A" w:rsidP="0056388A">
            <w:pPr>
              <w:pStyle w:val="Paperparalevel2"/>
              <w:numPr>
                <w:ilvl w:val="0"/>
                <w:numId w:val="0"/>
              </w:numPr>
              <w:jc w:val="right"/>
            </w:pPr>
            <w:r>
              <w:t>92</w:t>
            </w:r>
            <w:r w:rsidR="005D74EF">
              <w:t>.0</w:t>
            </w:r>
          </w:p>
        </w:tc>
        <w:tc>
          <w:tcPr>
            <w:tcW w:w="907" w:type="dxa"/>
          </w:tcPr>
          <w:p w:rsidR="005D74EF" w:rsidRDefault="005D74EF" w:rsidP="005D74EF">
            <w:pPr>
              <w:jc w:val="right"/>
            </w:pPr>
            <w:r>
              <w:t>93.7</w:t>
            </w:r>
          </w:p>
        </w:tc>
        <w:tc>
          <w:tcPr>
            <w:tcW w:w="907" w:type="dxa"/>
          </w:tcPr>
          <w:p w:rsidR="005D74EF" w:rsidRDefault="005D74EF" w:rsidP="005D74EF">
            <w:pPr>
              <w:jc w:val="right"/>
            </w:pPr>
            <w:r>
              <w:t>90.4</w:t>
            </w:r>
          </w:p>
        </w:tc>
        <w:tc>
          <w:tcPr>
            <w:tcW w:w="907" w:type="dxa"/>
          </w:tcPr>
          <w:p w:rsidR="005D74EF" w:rsidRDefault="005D74EF" w:rsidP="005D74EF">
            <w:pPr>
              <w:jc w:val="right"/>
            </w:pPr>
            <w:r>
              <w:t>90.5</w:t>
            </w:r>
          </w:p>
        </w:tc>
        <w:tc>
          <w:tcPr>
            <w:tcW w:w="907" w:type="dxa"/>
          </w:tcPr>
          <w:p w:rsidR="005D74EF" w:rsidRDefault="005D74EF" w:rsidP="005D74EF">
            <w:pPr>
              <w:jc w:val="right"/>
            </w:pPr>
            <w:r>
              <w:t>90.4</w:t>
            </w:r>
          </w:p>
        </w:tc>
        <w:tc>
          <w:tcPr>
            <w:tcW w:w="907" w:type="dxa"/>
          </w:tcPr>
          <w:p w:rsidR="005D74EF" w:rsidRDefault="005D74EF" w:rsidP="005D74EF">
            <w:pPr>
              <w:jc w:val="right"/>
            </w:pPr>
            <w:r>
              <w:t>90.7</w:t>
            </w:r>
          </w:p>
        </w:tc>
      </w:tr>
      <w:tr w:rsidR="005D74EF" w:rsidTr="0056388A">
        <w:tc>
          <w:tcPr>
            <w:tcW w:w="2778" w:type="dxa"/>
          </w:tcPr>
          <w:p w:rsidR="005D74EF" w:rsidRDefault="005D74EF" w:rsidP="0056388A">
            <w:pPr>
              <w:pStyle w:val="Paperparalevel2"/>
              <w:numPr>
                <w:ilvl w:val="0"/>
                <w:numId w:val="0"/>
              </w:numPr>
            </w:pPr>
            <w:r>
              <w:t>Glasgow Clyde College</w:t>
            </w:r>
          </w:p>
        </w:tc>
        <w:tc>
          <w:tcPr>
            <w:tcW w:w="907" w:type="dxa"/>
          </w:tcPr>
          <w:p w:rsidR="005D74EF" w:rsidRDefault="005D74EF" w:rsidP="0056388A">
            <w:pPr>
              <w:pStyle w:val="Paperparalevel2"/>
              <w:numPr>
                <w:ilvl w:val="0"/>
                <w:numId w:val="0"/>
              </w:numPr>
              <w:jc w:val="right"/>
            </w:pPr>
            <w:r>
              <w:t>50.2</w:t>
            </w:r>
          </w:p>
        </w:tc>
        <w:tc>
          <w:tcPr>
            <w:tcW w:w="907" w:type="dxa"/>
          </w:tcPr>
          <w:p w:rsidR="005D74EF" w:rsidRDefault="005D74EF" w:rsidP="005D74EF">
            <w:pPr>
              <w:pStyle w:val="Paperparalevel2"/>
              <w:numPr>
                <w:ilvl w:val="0"/>
                <w:numId w:val="0"/>
              </w:numPr>
              <w:jc w:val="right"/>
            </w:pPr>
            <w:r>
              <w:t>53.2</w:t>
            </w:r>
          </w:p>
        </w:tc>
        <w:tc>
          <w:tcPr>
            <w:tcW w:w="907" w:type="dxa"/>
          </w:tcPr>
          <w:p w:rsidR="005D74EF" w:rsidRDefault="005D74EF" w:rsidP="005D74EF">
            <w:pPr>
              <w:pStyle w:val="Paperparalevel2"/>
              <w:numPr>
                <w:ilvl w:val="0"/>
                <w:numId w:val="0"/>
              </w:numPr>
              <w:jc w:val="right"/>
            </w:pPr>
            <w:r>
              <w:t>52.7</w:t>
            </w:r>
          </w:p>
        </w:tc>
        <w:tc>
          <w:tcPr>
            <w:tcW w:w="907" w:type="dxa"/>
          </w:tcPr>
          <w:p w:rsidR="005D74EF" w:rsidRDefault="005D74EF" w:rsidP="005D74EF">
            <w:pPr>
              <w:pStyle w:val="Paperparalevel2"/>
              <w:numPr>
                <w:ilvl w:val="0"/>
                <w:numId w:val="0"/>
              </w:numPr>
              <w:jc w:val="right"/>
            </w:pPr>
            <w:r>
              <w:t>53.3</w:t>
            </w:r>
          </w:p>
        </w:tc>
        <w:tc>
          <w:tcPr>
            <w:tcW w:w="907" w:type="dxa"/>
          </w:tcPr>
          <w:p w:rsidR="005D74EF" w:rsidRDefault="005D74EF" w:rsidP="005D74EF">
            <w:pPr>
              <w:pStyle w:val="Paperparalevel2"/>
              <w:numPr>
                <w:ilvl w:val="0"/>
                <w:numId w:val="0"/>
              </w:numPr>
              <w:jc w:val="right"/>
            </w:pPr>
            <w:r>
              <w:t>54.2</w:t>
            </w:r>
          </w:p>
        </w:tc>
        <w:tc>
          <w:tcPr>
            <w:tcW w:w="907" w:type="dxa"/>
          </w:tcPr>
          <w:p w:rsidR="005D74EF" w:rsidRDefault="005D74EF" w:rsidP="005D74EF">
            <w:pPr>
              <w:pStyle w:val="Paperparalevel2"/>
              <w:numPr>
                <w:ilvl w:val="0"/>
                <w:numId w:val="0"/>
              </w:numPr>
              <w:jc w:val="right"/>
            </w:pPr>
            <w:r>
              <w:t>54.3</w:t>
            </w:r>
          </w:p>
        </w:tc>
      </w:tr>
      <w:tr w:rsidR="005D74EF" w:rsidTr="0056388A">
        <w:tc>
          <w:tcPr>
            <w:tcW w:w="2778" w:type="dxa"/>
          </w:tcPr>
          <w:p w:rsidR="005D74EF" w:rsidRDefault="005D74EF" w:rsidP="0056388A">
            <w:pPr>
              <w:pStyle w:val="Paperparalevel2"/>
              <w:numPr>
                <w:ilvl w:val="0"/>
                <w:numId w:val="0"/>
              </w:numPr>
            </w:pPr>
            <w:r>
              <w:t>Glasgow Kelvin College</w:t>
            </w:r>
          </w:p>
        </w:tc>
        <w:tc>
          <w:tcPr>
            <w:tcW w:w="907" w:type="dxa"/>
          </w:tcPr>
          <w:p w:rsidR="005D74EF" w:rsidRDefault="005D74EF" w:rsidP="005D74EF">
            <w:pPr>
              <w:pStyle w:val="Paperparalevel2"/>
              <w:numPr>
                <w:ilvl w:val="0"/>
                <w:numId w:val="0"/>
              </w:numPr>
              <w:jc w:val="right"/>
            </w:pPr>
            <w:r>
              <w:t>30.8</w:t>
            </w:r>
          </w:p>
        </w:tc>
        <w:tc>
          <w:tcPr>
            <w:tcW w:w="907" w:type="dxa"/>
          </w:tcPr>
          <w:p w:rsidR="005D74EF" w:rsidRDefault="005D74EF" w:rsidP="005D74EF">
            <w:pPr>
              <w:pStyle w:val="Paperparalevel2"/>
              <w:numPr>
                <w:ilvl w:val="0"/>
                <w:numId w:val="0"/>
              </w:numPr>
              <w:jc w:val="right"/>
            </w:pPr>
            <w:r>
              <w:t>32.6</w:t>
            </w:r>
          </w:p>
        </w:tc>
        <w:tc>
          <w:tcPr>
            <w:tcW w:w="907" w:type="dxa"/>
          </w:tcPr>
          <w:p w:rsidR="005D74EF" w:rsidRDefault="005D74EF" w:rsidP="005D74EF">
            <w:pPr>
              <w:pStyle w:val="Paperparalevel2"/>
              <w:numPr>
                <w:ilvl w:val="0"/>
                <w:numId w:val="0"/>
              </w:numPr>
              <w:jc w:val="right"/>
            </w:pPr>
            <w:r>
              <w:t>32.5</w:t>
            </w:r>
          </w:p>
        </w:tc>
        <w:tc>
          <w:tcPr>
            <w:tcW w:w="907" w:type="dxa"/>
          </w:tcPr>
          <w:p w:rsidR="005D74EF" w:rsidRDefault="005D74EF" w:rsidP="005D74EF">
            <w:pPr>
              <w:pStyle w:val="Paperparalevel2"/>
              <w:numPr>
                <w:ilvl w:val="0"/>
                <w:numId w:val="0"/>
              </w:numPr>
              <w:jc w:val="right"/>
            </w:pPr>
            <w:r>
              <w:t>32.7</w:t>
            </w:r>
          </w:p>
        </w:tc>
        <w:tc>
          <w:tcPr>
            <w:tcW w:w="907" w:type="dxa"/>
          </w:tcPr>
          <w:p w:rsidR="005D74EF" w:rsidRDefault="005D74EF" w:rsidP="005D74EF">
            <w:pPr>
              <w:pStyle w:val="Paperparalevel2"/>
              <w:numPr>
                <w:ilvl w:val="0"/>
                <w:numId w:val="0"/>
              </w:numPr>
              <w:jc w:val="right"/>
            </w:pPr>
            <w:r>
              <w:t>32.9</w:t>
            </w:r>
          </w:p>
        </w:tc>
        <w:tc>
          <w:tcPr>
            <w:tcW w:w="907" w:type="dxa"/>
          </w:tcPr>
          <w:p w:rsidR="005D74EF" w:rsidRDefault="005D74EF" w:rsidP="0056388A">
            <w:pPr>
              <w:pStyle w:val="Paperparalevel2"/>
              <w:numPr>
                <w:ilvl w:val="0"/>
                <w:numId w:val="0"/>
              </w:numPr>
              <w:jc w:val="right"/>
            </w:pPr>
            <w:r>
              <w:t>31.8</w:t>
            </w:r>
          </w:p>
        </w:tc>
      </w:tr>
      <w:tr w:rsidR="005D74EF" w:rsidTr="0056388A">
        <w:tc>
          <w:tcPr>
            <w:tcW w:w="2778" w:type="dxa"/>
          </w:tcPr>
          <w:p w:rsidR="005D74EF" w:rsidRPr="0054433A" w:rsidRDefault="005D74EF" w:rsidP="0056388A">
            <w:pPr>
              <w:pStyle w:val="Paperparalevel2"/>
              <w:numPr>
                <w:ilvl w:val="0"/>
                <w:numId w:val="0"/>
              </w:numPr>
              <w:rPr>
                <w:b/>
              </w:rPr>
            </w:pPr>
            <w:r w:rsidRPr="0054433A">
              <w:rPr>
                <w:b/>
              </w:rPr>
              <w:t>Glasgow Region</w:t>
            </w:r>
          </w:p>
        </w:tc>
        <w:tc>
          <w:tcPr>
            <w:tcW w:w="907" w:type="dxa"/>
          </w:tcPr>
          <w:p w:rsidR="005D74EF" w:rsidRPr="0054433A" w:rsidRDefault="0056388A" w:rsidP="0056388A">
            <w:pPr>
              <w:pStyle w:val="Paperparalevel2"/>
              <w:numPr>
                <w:ilvl w:val="0"/>
                <w:numId w:val="0"/>
              </w:numPr>
              <w:jc w:val="right"/>
              <w:rPr>
                <w:b/>
              </w:rPr>
            </w:pPr>
            <w:r>
              <w:rPr>
                <w:b/>
              </w:rPr>
              <w:fldChar w:fldCharType="begin"/>
            </w:r>
            <w:r>
              <w:rPr>
                <w:b/>
              </w:rPr>
              <w:instrText xml:space="preserve"> =SUM(ABOVE) \# "#,##0.0" </w:instrText>
            </w:r>
            <w:r>
              <w:rPr>
                <w:b/>
              </w:rPr>
              <w:fldChar w:fldCharType="separate"/>
            </w:r>
            <w:r>
              <w:rPr>
                <w:b/>
                <w:noProof/>
              </w:rPr>
              <w:t xml:space="preserve"> 173.0</w:t>
            </w:r>
            <w:r>
              <w:rPr>
                <w:b/>
              </w:rPr>
              <w:fldChar w:fldCharType="end"/>
            </w:r>
          </w:p>
        </w:tc>
        <w:tc>
          <w:tcPr>
            <w:tcW w:w="907" w:type="dxa"/>
          </w:tcPr>
          <w:p w:rsidR="005D74EF" w:rsidRPr="0054433A" w:rsidRDefault="005D74EF"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sidR="0056388A">
              <w:rPr>
                <w:b/>
                <w:noProof/>
              </w:rPr>
              <w:t>179.5</w:t>
            </w:r>
            <w:r>
              <w:rPr>
                <w:b/>
              </w:rPr>
              <w:fldChar w:fldCharType="end"/>
            </w:r>
          </w:p>
        </w:tc>
        <w:tc>
          <w:tcPr>
            <w:tcW w:w="907" w:type="dxa"/>
          </w:tcPr>
          <w:p w:rsidR="005D74EF" w:rsidRPr="0054433A" w:rsidRDefault="005D74EF"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sidR="0056388A">
              <w:rPr>
                <w:b/>
                <w:noProof/>
              </w:rPr>
              <w:t>175.6</w:t>
            </w:r>
            <w:r>
              <w:rPr>
                <w:b/>
              </w:rPr>
              <w:fldChar w:fldCharType="end"/>
            </w:r>
          </w:p>
        </w:tc>
        <w:tc>
          <w:tcPr>
            <w:tcW w:w="907" w:type="dxa"/>
          </w:tcPr>
          <w:p w:rsidR="005D74EF" w:rsidRPr="0054433A" w:rsidRDefault="005D74EF"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sidR="0056388A">
              <w:rPr>
                <w:b/>
                <w:noProof/>
              </w:rPr>
              <w:t>176.5</w:t>
            </w:r>
            <w:r>
              <w:rPr>
                <w:b/>
              </w:rPr>
              <w:fldChar w:fldCharType="end"/>
            </w:r>
          </w:p>
        </w:tc>
        <w:tc>
          <w:tcPr>
            <w:tcW w:w="907" w:type="dxa"/>
          </w:tcPr>
          <w:p w:rsidR="005D74EF" w:rsidRPr="0054433A" w:rsidRDefault="005D74EF"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sidR="0056388A">
              <w:rPr>
                <w:b/>
                <w:noProof/>
              </w:rPr>
              <w:t>177.5</w:t>
            </w:r>
            <w:r>
              <w:rPr>
                <w:b/>
              </w:rPr>
              <w:fldChar w:fldCharType="end"/>
            </w:r>
          </w:p>
        </w:tc>
        <w:tc>
          <w:tcPr>
            <w:tcW w:w="907" w:type="dxa"/>
          </w:tcPr>
          <w:p w:rsidR="005D74EF" w:rsidRPr="0054433A" w:rsidRDefault="005D74EF"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sidR="0056388A">
              <w:rPr>
                <w:b/>
                <w:noProof/>
              </w:rPr>
              <w:t>176.8</w:t>
            </w:r>
            <w:r>
              <w:rPr>
                <w:b/>
              </w:rPr>
              <w:fldChar w:fldCharType="end"/>
            </w:r>
          </w:p>
        </w:tc>
      </w:tr>
    </w:tbl>
    <w:p w:rsidR="005D74EF" w:rsidRPr="00563B82" w:rsidRDefault="005D74EF" w:rsidP="005D74EF">
      <w:pPr>
        <w:pStyle w:val="Paperparalevel2"/>
        <w:numPr>
          <w:ilvl w:val="0"/>
          <w:numId w:val="0"/>
        </w:numPr>
        <w:ind w:left="709"/>
      </w:pPr>
    </w:p>
    <w:p w:rsidR="0056388A" w:rsidRDefault="005D74EF" w:rsidP="0056388A">
      <w:pPr>
        <w:pStyle w:val="Default"/>
        <w:numPr>
          <w:ilvl w:val="0"/>
          <w:numId w:val="5"/>
        </w:numPr>
        <w:spacing w:after="47"/>
        <w:ind w:left="1418"/>
        <w:jc w:val="both"/>
        <w:rPr>
          <w:rFonts w:asciiTheme="minorHAnsi" w:hAnsiTheme="minorHAnsi" w:cstheme="minorHAnsi"/>
          <w:color w:val="auto"/>
          <w:sz w:val="22"/>
          <w:szCs w:val="22"/>
        </w:rPr>
      </w:pPr>
      <w:r w:rsidRPr="0056388A">
        <w:rPr>
          <w:rFonts w:asciiTheme="minorHAnsi" w:hAnsiTheme="minorHAnsi" w:cstheme="minorHAnsi"/>
          <w:color w:val="auto"/>
          <w:sz w:val="22"/>
          <w:szCs w:val="22"/>
        </w:rPr>
        <w:t xml:space="preserve">Although the overall position is fairly constant there are some </w:t>
      </w:r>
      <w:r w:rsidR="0056388A">
        <w:rPr>
          <w:rFonts w:asciiTheme="minorHAnsi" w:hAnsiTheme="minorHAnsi" w:cstheme="minorHAnsi"/>
          <w:color w:val="auto"/>
          <w:sz w:val="22"/>
          <w:szCs w:val="22"/>
        </w:rPr>
        <w:t>changes</w:t>
      </w:r>
      <w:r w:rsidRPr="0056388A">
        <w:rPr>
          <w:rFonts w:asciiTheme="minorHAnsi" w:hAnsiTheme="minorHAnsi" w:cstheme="minorHAnsi"/>
          <w:color w:val="auto"/>
          <w:sz w:val="22"/>
          <w:szCs w:val="22"/>
        </w:rPr>
        <w:t xml:space="preserve"> within individual colleges</w:t>
      </w:r>
      <w:r w:rsidR="0056388A">
        <w:rPr>
          <w:rFonts w:asciiTheme="minorHAnsi" w:hAnsiTheme="minorHAnsi" w:cstheme="minorHAnsi"/>
          <w:color w:val="auto"/>
          <w:sz w:val="22"/>
          <w:szCs w:val="22"/>
        </w:rPr>
        <w:t xml:space="preserve">. For example, Glasgow Clyde College shows a larger increase in expenditure over the period whereas the other two colleges are anticipating greater cost savings. The growth in expenditure within Glasgow Clyde College is matched by the predicted growth in income. </w:t>
      </w:r>
    </w:p>
    <w:p w:rsidR="005D74EF" w:rsidRPr="0056388A" w:rsidRDefault="005D74EF" w:rsidP="0056388A">
      <w:pPr>
        <w:pStyle w:val="Default"/>
        <w:numPr>
          <w:ilvl w:val="0"/>
          <w:numId w:val="5"/>
        </w:numPr>
        <w:spacing w:after="47"/>
        <w:ind w:left="1418"/>
        <w:jc w:val="both"/>
        <w:rPr>
          <w:rFonts w:asciiTheme="minorHAnsi" w:hAnsiTheme="minorHAnsi" w:cstheme="minorHAnsi"/>
          <w:color w:val="auto"/>
          <w:sz w:val="22"/>
          <w:szCs w:val="22"/>
        </w:rPr>
      </w:pPr>
      <w:r w:rsidRPr="0056388A">
        <w:rPr>
          <w:rFonts w:asciiTheme="minorHAnsi" w:hAnsiTheme="minorHAnsi" w:cstheme="minorHAnsi"/>
          <w:color w:val="auto"/>
          <w:sz w:val="22"/>
          <w:szCs w:val="22"/>
        </w:rPr>
        <w:lastRenderedPageBreak/>
        <w:t xml:space="preserve">Over the forecast period 2019-20 to 2023-24, the colleges have anticipated receiving £2.9m of revenue funding and £8.9m of capital funding from Arms’ Length Foundations. Without this level of investment the </w:t>
      </w:r>
      <w:r w:rsidRPr="0056388A">
        <w:rPr>
          <w:rFonts w:asciiTheme="minorHAnsi" w:hAnsiTheme="minorHAnsi" w:cstheme="minorHAnsi"/>
          <w:b/>
          <w:color w:val="auto"/>
          <w:sz w:val="22"/>
          <w:szCs w:val="22"/>
        </w:rPr>
        <w:t>Adjusted Operating Position</w:t>
      </w:r>
      <w:r w:rsidRPr="0056388A">
        <w:rPr>
          <w:rFonts w:asciiTheme="minorHAnsi" w:hAnsiTheme="minorHAnsi" w:cstheme="minorHAnsi"/>
          <w:color w:val="auto"/>
          <w:sz w:val="22"/>
          <w:szCs w:val="22"/>
        </w:rPr>
        <w:t xml:space="preserve"> would be worse.</w:t>
      </w:r>
    </w:p>
    <w:p w:rsidR="00DD2CED" w:rsidRDefault="00DD2CED" w:rsidP="007855FA">
      <w:pPr>
        <w:pStyle w:val="Paperparalevel1"/>
        <w:numPr>
          <w:ilvl w:val="0"/>
          <w:numId w:val="0"/>
        </w:numPr>
        <w:spacing w:after="0"/>
        <w:ind w:left="714" w:hanging="357"/>
      </w:pPr>
    </w:p>
    <w:p w:rsidR="0056388A" w:rsidRDefault="0056388A" w:rsidP="00C73630">
      <w:pPr>
        <w:pStyle w:val="Paperparalevel2"/>
        <w:ind w:left="1134" w:hanging="567"/>
      </w:pPr>
      <w:r w:rsidRPr="00563B82">
        <w:t xml:space="preserve">Total </w:t>
      </w:r>
      <w:r>
        <w:rPr>
          <w:b/>
        </w:rPr>
        <w:t>Staff Costs</w:t>
      </w:r>
      <w:r w:rsidRPr="00563B82">
        <w:t xml:space="preserve"> over the forecast period </w:t>
      </w:r>
      <w:r>
        <w:t>are</w:t>
      </w:r>
      <w:r w:rsidRPr="00563B82">
        <w:t xml:space="preserve"> shown in the following table:</w:t>
      </w:r>
    </w:p>
    <w:tbl>
      <w:tblPr>
        <w:tblStyle w:val="TableGrid"/>
        <w:tblW w:w="0" w:type="auto"/>
        <w:tblInd w:w="709" w:type="dxa"/>
        <w:tblLook w:val="04A0" w:firstRow="1" w:lastRow="0" w:firstColumn="1" w:lastColumn="0" w:noHBand="0" w:noVBand="1"/>
      </w:tblPr>
      <w:tblGrid>
        <w:gridCol w:w="2778"/>
        <w:gridCol w:w="907"/>
        <w:gridCol w:w="907"/>
        <w:gridCol w:w="907"/>
        <w:gridCol w:w="907"/>
        <w:gridCol w:w="907"/>
        <w:gridCol w:w="907"/>
      </w:tblGrid>
      <w:tr w:rsidR="0056388A" w:rsidTr="0056388A">
        <w:tc>
          <w:tcPr>
            <w:tcW w:w="2778" w:type="dxa"/>
          </w:tcPr>
          <w:p w:rsidR="0056388A" w:rsidRPr="00563B82" w:rsidRDefault="0056388A" w:rsidP="0056388A">
            <w:pPr>
              <w:pStyle w:val="Paperparalevel2"/>
              <w:numPr>
                <w:ilvl w:val="0"/>
                <w:numId w:val="0"/>
              </w:numPr>
              <w:rPr>
                <w:b/>
              </w:rPr>
            </w:pPr>
            <w:r>
              <w:rPr>
                <w:b/>
              </w:rPr>
              <w:t>Total Staff Costs (</w:t>
            </w:r>
            <w:proofErr w:type="spellStart"/>
            <w:r>
              <w:rPr>
                <w:b/>
              </w:rPr>
              <w:t>exc</w:t>
            </w:r>
            <w:proofErr w:type="spellEnd"/>
            <w:r>
              <w:rPr>
                <w:b/>
              </w:rPr>
              <w:t xml:space="preserve"> Exceptional Items)</w:t>
            </w:r>
          </w:p>
        </w:tc>
        <w:tc>
          <w:tcPr>
            <w:tcW w:w="907" w:type="dxa"/>
          </w:tcPr>
          <w:p w:rsidR="0056388A" w:rsidRDefault="0056388A" w:rsidP="0056388A">
            <w:pPr>
              <w:pStyle w:val="Paperparalevel2"/>
              <w:numPr>
                <w:ilvl w:val="0"/>
                <w:numId w:val="0"/>
              </w:numPr>
              <w:jc w:val="center"/>
            </w:pPr>
            <w:r>
              <w:t>Actual 2018-19</w:t>
            </w:r>
          </w:p>
        </w:tc>
        <w:tc>
          <w:tcPr>
            <w:tcW w:w="907" w:type="dxa"/>
          </w:tcPr>
          <w:p w:rsidR="0056388A" w:rsidRDefault="0056388A" w:rsidP="0056388A">
            <w:pPr>
              <w:pStyle w:val="Paperparalevel2"/>
              <w:numPr>
                <w:ilvl w:val="0"/>
                <w:numId w:val="0"/>
              </w:numPr>
              <w:jc w:val="center"/>
            </w:pPr>
            <w:r>
              <w:t>FFR 2019-20</w:t>
            </w:r>
          </w:p>
        </w:tc>
        <w:tc>
          <w:tcPr>
            <w:tcW w:w="907" w:type="dxa"/>
          </w:tcPr>
          <w:p w:rsidR="0056388A" w:rsidRDefault="0056388A" w:rsidP="0056388A">
            <w:pPr>
              <w:pStyle w:val="Paperparalevel2"/>
              <w:numPr>
                <w:ilvl w:val="0"/>
                <w:numId w:val="0"/>
              </w:numPr>
              <w:jc w:val="center"/>
            </w:pPr>
            <w:r>
              <w:t>FFR 2020-21</w:t>
            </w:r>
          </w:p>
        </w:tc>
        <w:tc>
          <w:tcPr>
            <w:tcW w:w="907" w:type="dxa"/>
          </w:tcPr>
          <w:p w:rsidR="0056388A" w:rsidRDefault="0056388A" w:rsidP="0056388A">
            <w:pPr>
              <w:pStyle w:val="Paperparalevel2"/>
              <w:numPr>
                <w:ilvl w:val="0"/>
                <w:numId w:val="0"/>
              </w:numPr>
              <w:jc w:val="center"/>
            </w:pPr>
            <w:r>
              <w:t>FFR 2021-22</w:t>
            </w:r>
          </w:p>
        </w:tc>
        <w:tc>
          <w:tcPr>
            <w:tcW w:w="907" w:type="dxa"/>
          </w:tcPr>
          <w:p w:rsidR="0056388A" w:rsidRDefault="0056388A" w:rsidP="0056388A">
            <w:pPr>
              <w:pStyle w:val="Paperparalevel2"/>
              <w:numPr>
                <w:ilvl w:val="0"/>
                <w:numId w:val="0"/>
              </w:numPr>
              <w:jc w:val="center"/>
            </w:pPr>
            <w:r>
              <w:t>FFR 2022-23</w:t>
            </w:r>
          </w:p>
        </w:tc>
        <w:tc>
          <w:tcPr>
            <w:tcW w:w="907" w:type="dxa"/>
          </w:tcPr>
          <w:p w:rsidR="0056388A" w:rsidRDefault="0056388A" w:rsidP="0056388A">
            <w:pPr>
              <w:pStyle w:val="Paperparalevel2"/>
              <w:numPr>
                <w:ilvl w:val="0"/>
                <w:numId w:val="0"/>
              </w:numPr>
              <w:jc w:val="center"/>
            </w:pPr>
            <w:r>
              <w:t>FFR 2023-24</w:t>
            </w:r>
          </w:p>
        </w:tc>
      </w:tr>
      <w:tr w:rsidR="0056388A" w:rsidTr="0056388A">
        <w:tc>
          <w:tcPr>
            <w:tcW w:w="2778" w:type="dxa"/>
          </w:tcPr>
          <w:p w:rsidR="0056388A" w:rsidRDefault="0056388A" w:rsidP="0056388A">
            <w:pPr>
              <w:pStyle w:val="Paperparalevel2"/>
              <w:numPr>
                <w:ilvl w:val="0"/>
                <w:numId w:val="0"/>
              </w:numPr>
            </w:pPr>
          </w:p>
        </w:tc>
        <w:tc>
          <w:tcPr>
            <w:tcW w:w="907" w:type="dxa"/>
          </w:tcPr>
          <w:p w:rsidR="0056388A" w:rsidRDefault="0056388A" w:rsidP="0056388A">
            <w:pPr>
              <w:pStyle w:val="Paperparalevel2"/>
              <w:numPr>
                <w:ilvl w:val="0"/>
                <w:numId w:val="0"/>
              </w:numPr>
              <w:jc w:val="center"/>
            </w:pPr>
            <w:r>
              <w:t>£’m</w:t>
            </w:r>
          </w:p>
        </w:tc>
        <w:tc>
          <w:tcPr>
            <w:tcW w:w="907" w:type="dxa"/>
          </w:tcPr>
          <w:p w:rsidR="0056388A" w:rsidRDefault="0056388A" w:rsidP="0056388A">
            <w:pPr>
              <w:jc w:val="center"/>
            </w:pPr>
            <w:r w:rsidRPr="004C5646">
              <w:t>£’</w:t>
            </w:r>
            <w:r>
              <w:t>m</w:t>
            </w:r>
          </w:p>
        </w:tc>
        <w:tc>
          <w:tcPr>
            <w:tcW w:w="907" w:type="dxa"/>
          </w:tcPr>
          <w:p w:rsidR="0056388A" w:rsidRDefault="0056388A" w:rsidP="0056388A">
            <w:pPr>
              <w:jc w:val="center"/>
            </w:pPr>
            <w:r w:rsidRPr="004C5646">
              <w:t>£’</w:t>
            </w:r>
            <w:r>
              <w:t>m</w:t>
            </w:r>
          </w:p>
        </w:tc>
        <w:tc>
          <w:tcPr>
            <w:tcW w:w="907" w:type="dxa"/>
          </w:tcPr>
          <w:p w:rsidR="0056388A" w:rsidRDefault="0056388A" w:rsidP="0056388A">
            <w:pPr>
              <w:jc w:val="center"/>
            </w:pPr>
            <w:r w:rsidRPr="004C5646">
              <w:t>£’</w:t>
            </w:r>
            <w:r>
              <w:t>m</w:t>
            </w:r>
          </w:p>
        </w:tc>
        <w:tc>
          <w:tcPr>
            <w:tcW w:w="907" w:type="dxa"/>
          </w:tcPr>
          <w:p w:rsidR="0056388A" w:rsidRDefault="0056388A" w:rsidP="0056388A">
            <w:pPr>
              <w:jc w:val="center"/>
            </w:pPr>
            <w:r w:rsidRPr="004C5646">
              <w:t>£’</w:t>
            </w:r>
            <w:r>
              <w:t>m</w:t>
            </w:r>
          </w:p>
        </w:tc>
        <w:tc>
          <w:tcPr>
            <w:tcW w:w="907" w:type="dxa"/>
          </w:tcPr>
          <w:p w:rsidR="0056388A" w:rsidRDefault="0056388A" w:rsidP="0056388A">
            <w:pPr>
              <w:jc w:val="center"/>
            </w:pPr>
            <w:r w:rsidRPr="004C5646">
              <w:t>£’</w:t>
            </w:r>
            <w:r>
              <w:t>m</w:t>
            </w:r>
          </w:p>
        </w:tc>
      </w:tr>
      <w:tr w:rsidR="0056388A" w:rsidTr="0056388A">
        <w:tc>
          <w:tcPr>
            <w:tcW w:w="2778" w:type="dxa"/>
          </w:tcPr>
          <w:p w:rsidR="0056388A" w:rsidRDefault="0056388A" w:rsidP="0056388A">
            <w:pPr>
              <w:pStyle w:val="Paperparalevel2"/>
              <w:numPr>
                <w:ilvl w:val="0"/>
                <w:numId w:val="0"/>
              </w:numPr>
            </w:pPr>
            <w:r>
              <w:t>City of Glasgow College</w:t>
            </w:r>
          </w:p>
        </w:tc>
        <w:tc>
          <w:tcPr>
            <w:tcW w:w="907" w:type="dxa"/>
          </w:tcPr>
          <w:p w:rsidR="0056388A" w:rsidRDefault="00646A0F" w:rsidP="0056388A">
            <w:pPr>
              <w:pStyle w:val="Paperparalevel2"/>
              <w:numPr>
                <w:ilvl w:val="0"/>
                <w:numId w:val="0"/>
              </w:numPr>
              <w:jc w:val="right"/>
            </w:pPr>
            <w:r>
              <w:t>48</w:t>
            </w:r>
            <w:r w:rsidR="0056388A">
              <w:t>.0</w:t>
            </w:r>
          </w:p>
        </w:tc>
        <w:tc>
          <w:tcPr>
            <w:tcW w:w="907" w:type="dxa"/>
          </w:tcPr>
          <w:p w:rsidR="0056388A" w:rsidRDefault="00646A0F" w:rsidP="0056388A">
            <w:pPr>
              <w:jc w:val="right"/>
            </w:pPr>
            <w:r>
              <w:t>53.2</w:t>
            </w:r>
          </w:p>
        </w:tc>
        <w:tc>
          <w:tcPr>
            <w:tcW w:w="907" w:type="dxa"/>
          </w:tcPr>
          <w:p w:rsidR="0056388A" w:rsidRDefault="00646A0F" w:rsidP="0056388A">
            <w:pPr>
              <w:jc w:val="right"/>
            </w:pPr>
            <w:r>
              <w:t>53.6</w:t>
            </w:r>
          </w:p>
        </w:tc>
        <w:tc>
          <w:tcPr>
            <w:tcW w:w="907" w:type="dxa"/>
          </w:tcPr>
          <w:p w:rsidR="0056388A" w:rsidRDefault="00646A0F" w:rsidP="00646A0F">
            <w:pPr>
              <w:jc w:val="right"/>
            </w:pPr>
            <w:r>
              <w:t>53</w:t>
            </w:r>
            <w:r w:rsidR="0056388A">
              <w:t>.</w:t>
            </w:r>
            <w:r>
              <w:t>9</w:t>
            </w:r>
          </w:p>
        </w:tc>
        <w:tc>
          <w:tcPr>
            <w:tcW w:w="907" w:type="dxa"/>
          </w:tcPr>
          <w:p w:rsidR="0056388A" w:rsidRDefault="00646A0F" w:rsidP="00646A0F">
            <w:pPr>
              <w:jc w:val="right"/>
            </w:pPr>
            <w:r>
              <w:t>53.8</w:t>
            </w:r>
          </w:p>
        </w:tc>
        <w:tc>
          <w:tcPr>
            <w:tcW w:w="907" w:type="dxa"/>
          </w:tcPr>
          <w:p w:rsidR="0056388A" w:rsidRDefault="00646A0F" w:rsidP="0056388A">
            <w:pPr>
              <w:jc w:val="right"/>
            </w:pPr>
            <w:r>
              <w:t>54.2</w:t>
            </w:r>
          </w:p>
        </w:tc>
      </w:tr>
      <w:tr w:rsidR="0056388A" w:rsidTr="0056388A">
        <w:tc>
          <w:tcPr>
            <w:tcW w:w="2778" w:type="dxa"/>
          </w:tcPr>
          <w:p w:rsidR="0056388A" w:rsidRDefault="0056388A" w:rsidP="0056388A">
            <w:pPr>
              <w:pStyle w:val="Paperparalevel2"/>
              <w:numPr>
                <w:ilvl w:val="0"/>
                <w:numId w:val="0"/>
              </w:numPr>
            </w:pPr>
            <w:r>
              <w:t>Glasgow Clyde College</w:t>
            </w:r>
          </w:p>
        </w:tc>
        <w:tc>
          <w:tcPr>
            <w:tcW w:w="907" w:type="dxa"/>
          </w:tcPr>
          <w:p w:rsidR="0056388A" w:rsidRDefault="0056388A" w:rsidP="0056388A">
            <w:pPr>
              <w:pStyle w:val="Paperparalevel2"/>
              <w:numPr>
                <w:ilvl w:val="0"/>
                <w:numId w:val="0"/>
              </w:numPr>
              <w:jc w:val="right"/>
            </w:pPr>
            <w:r>
              <w:t>34.2</w:t>
            </w:r>
          </w:p>
        </w:tc>
        <w:tc>
          <w:tcPr>
            <w:tcW w:w="907" w:type="dxa"/>
          </w:tcPr>
          <w:p w:rsidR="0056388A" w:rsidRDefault="0056388A" w:rsidP="0056388A">
            <w:pPr>
              <w:pStyle w:val="Paperparalevel2"/>
              <w:numPr>
                <w:ilvl w:val="0"/>
                <w:numId w:val="0"/>
              </w:numPr>
              <w:jc w:val="right"/>
            </w:pPr>
            <w:r>
              <w:t>36.1</w:t>
            </w:r>
          </w:p>
        </w:tc>
        <w:tc>
          <w:tcPr>
            <w:tcW w:w="907" w:type="dxa"/>
          </w:tcPr>
          <w:p w:rsidR="0056388A" w:rsidRDefault="0056388A" w:rsidP="0056388A">
            <w:pPr>
              <w:pStyle w:val="Paperparalevel2"/>
              <w:numPr>
                <w:ilvl w:val="0"/>
                <w:numId w:val="0"/>
              </w:numPr>
              <w:jc w:val="right"/>
            </w:pPr>
            <w:r>
              <w:t>36.6</w:t>
            </w:r>
          </w:p>
        </w:tc>
        <w:tc>
          <w:tcPr>
            <w:tcW w:w="907" w:type="dxa"/>
          </w:tcPr>
          <w:p w:rsidR="0056388A" w:rsidRDefault="0056388A" w:rsidP="0056388A">
            <w:pPr>
              <w:pStyle w:val="Paperparalevel2"/>
              <w:numPr>
                <w:ilvl w:val="0"/>
                <w:numId w:val="0"/>
              </w:numPr>
              <w:jc w:val="right"/>
            </w:pPr>
            <w:r>
              <w:t>37.4</w:t>
            </w:r>
          </w:p>
        </w:tc>
        <w:tc>
          <w:tcPr>
            <w:tcW w:w="907" w:type="dxa"/>
          </w:tcPr>
          <w:p w:rsidR="0056388A" w:rsidRDefault="0056388A" w:rsidP="0056388A">
            <w:pPr>
              <w:pStyle w:val="Paperparalevel2"/>
              <w:numPr>
                <w:ilvl w:val="0"/>
                <w:numId w:val="0"/>
              </w:numPr>
              <w:jc w:val="right"/>
            </w:pPr>
            <w:r>
              <w:t>37.8</w:t>
            </w:r>
          </w:p>
        </w:tc>
        <w:tc>
          <w:tcPr>
            <w:tcW w:w="907" w:type="dxa"/>
          </w:tcPr>
          <w:p w:rsidR="0056388A" w:rsidRDefault="0056388A" w:rsidP="0056388A">
            <w:pPr>
              <w:pStyle w:val="Paperparalevel2"/>
              <w:numPr>
                <w:ilvl w:val="0"/>
                <w:numId w:val="0"/>
              </w:numPr>
              <w:jc w:val="right"/>
            </w:pPr>
            <w:r>
              <w:t>38.5</w:t>
            </w:r>
          </w:p>
        </w:tc>
      </w:tr>
      <w:tr w:rsidR="0056388A" w:rsidTr="0056388A">
        <w:tc>
          <w:tcPr>
            <w:tcW w:w="2778" w:type="dxa"/>
          </w:tcPr>
          <w:p w:rsidR="0056388A" w:rsidRDefault="0056388A" w:rsidP="0056388A">
            <w:pPr>
              <w:pStyle w:val="Paperparalevel2"/>
              <w:numPr>
                <w:ilvl w:val="0"/>
                <w:numId w:val="0"/>
              </w:numPr>
            </w:pPr>
            <w:r>
              <w:t>Glasgow Kelvin College</w:t>
            </w:r>
          </w:p>
        </w:tc>
        <w:tc>
          <w:tcPr>
            <w:tcW w:w="907" w:type="dxa"/>
          </w:tcPr>
          <w:p w:rsidR="0056388A" w:rsidRDefault="00646A0F" w:rsidP="0056388A">
            <w:pPr>
              <w:pStyle w:val="Paperparalevel2"/>
              <w:numPr>
                <w:ilvl w:val="0"/>
                <w:numId w:val="0"/>
              </w:numPr>
              <w:jc w:val="right"/>
            </w:pPr>
            <w:r>
              <w:t>22.3</w:t>
            </w:r>
          </w:p>
        </w:tc>
        <w:tc>
          <w:tcPr>
            <w:tcW w:w="907" w:type="dxa"/>
          </w:tcPr>
          <w:p w:rsidR="0056388A" w:rsidRDefault="00646A0F" w:rsidP="00646A0F">
            <w:pPr>
              <w:pStyle w:val="Paperparalevel2"/>
              <w:numPr>
                <w:ilvl w:val="0"/>
                <w:numId w:val="0"/>
              </w:numPr>
              <w:jc w:val="right"/>
            </w:pPr>
            <w:r>
              <w:t>23.9</w:t>
            </w:r>
          </w:p>
        </w:tc>
        <w:tc>
          <w:tcPr>
            <w:tcW w:w="907" w:type="dxa"/>
          </w:tcPr>
          <w:p w:rsidR="0056388A" w:rsidRDefault="00646A0F" w:rsidP="0056388A">
            <w:pPr>
              <w:pStyle w:val="Paperparalevel2"/>
              <w:numPr>
                <w:ilvl w:val="0"/>
                <w:numId w:val="0"/>
              </w:numPr>
              <w:jc w:val="right"/>
            </w:pPr>
            <w:r>
              <w:t>23.8</w:t>
            </w:r>
          </w:p>
        </w:tc>
        <w:tc>
          <w:tcPr>
            <w:tcW w:w="907" w:type="dxa"/>
          </w:tcPr>
          <w:p w:rsidR="0056388A" w:rsidRDefault="00646A0F" w:rsidP="0056388A">
            <w:pPr>
              <w:pStyle w:val="Paperparalevel2"/>
              <w:numPr>
                <w:ilvl w:val="0"/>
                <w:numId w:val="0"/>
              </w:numPr>
              <w:jc w:val="right"/>
            </w:pPr>
            <w:r>
              <w:t>23.9</w:t>
            </w:r>
          </w:p>
        </w:tc>
        <w:tc>
          <w:tcPr>
            <w:tcW w:w="907" w:type="dxa"/>
          </w:tcPr>
          <w:p w:rsidR="0056388A" w:rsidRDefault="00646A0F" w:rsidP="0056388A">
            <w:pPr>
              <w:pStyle w:val="Paperparalevel2"/>
              <w:numPr>
                <w:ilvl w:val="0"/>
                <w:numId w:val="0"/>
              </w:numPr>
              <w:jc w:val="right"/>
            </w:pPr>
            <w:r>
              <w:t>23.6</w:t>
            </w:r>
          </w:p>
        </w:tc>
        <w:tc>
          <w:tcPr>
            <w:tcW w:w="907" w:type="dxa"/>
          </w:tcPr>
          <w:p w:rsidR="0056388A" w:rsidRDefault="00646A0F" w:rsidP="0056388A">
            <w:pPr>
              <w:pStyle w:val="Paperparalevel2"/>
              <w:numPr>
                <w:ilvl w:val="0"/>
                <w:numId w:val="0"/>
              </w:numPr>
              <w:jc w:val="right"/>
            </w:pPr>
            <w:r>
              <w:t>23.4</w:t>
            </w:r>
          </w:p>
        </w:tc>
      </w:tr>
      <w:tr w:rsidR="0056388A" w:rsidTr="0056388A">
        <w:tc>
          <w:tcPr>
            <w:tcW w:w="2778" w:type="dxa"/>
          </w:tcPr>
          <w:p w:rsidR="0056388A" w:rsidRPr="0054433A" w:rsidRDefault="0056388A" w:rsidP="0056388A">
            <w:pPr>
              <w:pStyle w:val="Paperparalevel2"/>
              <w:numPr>
                <w:ilvl w:val="0"/>
                <w:numId w:val="0"/>
              </w:numPr>
              <w:rPr>
                <w:b/>
              </w:rPr>
            </w:pPr>
            <w:r w:rsidRPr="0054433A">
              <w:rPr>
                <w:b/>
              </w:rPr>
              <w:t>Glasgow Region</w:t>
            </w:r>
          </w:p>
        </w:tc>
        <w:tc>
          <w:tcPr>
            <w:tcW w:w="907" w:type="dxa"/>
          </w:tcPr>
          <w:p w:rsidR="0056388A" w:rsidRPr="0054433A" w:rsidRDefault="0056388A" w:rsidP="0056388A">
            <w:pPr>
              <w:pStyle w:val="Paperparalevel2"/>
              <w:numPr>
                <w:ilvl w:val="0"/>
                <w:numId w:val="0"/>
              </w:numPr>
              <w:jc w:val="right"/>
              <w:rPr>
                <w:b/>
              </w:rPr>
            </w:pPr>
            <w:r>
              <w:rPr>
                <w:b/>
              </w:rPr>
              <w:fldChar w:fldCharType="begin"/>
            </w:r>
            <w:r>
              <w:rPr>
                <w:b/>
              </w:rPr>
              <w:instrText xml:space="preserve"> =SUM(ABOVE) \# "#,##0.0" </w:instrText>
            </w:r>
            <w:r>
              <w:rPr>
                <w:b/>
              </w:rPr>
              <w:fldChar w:fldCharType="separate"/>
            </w:r>
            <w:r w:rsidR="00646A0F">
              <w:rPr>
                <w:b/>
                <w:noProof/>
              </w:rPr>
              <w:t xml:space="preserve"> 104.5</w:t>
            </w:r>
            <w:r>
              <w:rPr>
                <w:b/>
              </w:rPr>
              <w:fldChar w:fldCharType="end"/>
            </w:r>
          </w:p>
        </w:tc>
        <w:tc>
          <w:tcPr>
            <w:tcW w:w="907" w:type="dxa"/>
          </w:tcPr>
          <w:p w:rsidR="0056388A" w:rsidRPr="0054433A" w:rsidRDefault="0056388A"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sidR="00646A0F">
              <w:rPr>
                <w:b/>
                <w:noProof/>
              </w:rPr>
              <w:t>113.2</w:t>
            </w:r>
            <w:r>
              <w:rPr>
                <w:b/>
              </w:rPr>
              <w:fldChar w:fldCharType="end"/>
            </w:r>
          </w:p>
        </w:tc>
        <w:tc>
          <w:tcPr>
            <w:tcW w:w="907" w:type="dxa"/>
          </w:tcPr>
          <w:p w:rsidR="0056388A" w:rsidRPr="0054433A" w:rsidRDefault="00646A0F" w:rsidP="0056388A">
            <w:pPr>
              <w:pStyle w:val="Paperparalevel2"/>
              <w:numPr>
                <w:ilvl w:val="0"/>
                <w:numId w:val="0"/>
              </w:numPr>
              <w:jc w:val="right"/>
              <w:rPr>
                <w:b/>
              </w:rPr>
            </w:pPr>
            <w:r>
              <w:rPr>
                <w:b/>
              </w:rPr>
              <w:fldChar w:fldCharType="begin"/>
            </w:r>
            <w:r>
              <w:rPr>
                <w:b/>
              </w:rPr>
              <w:instrText xml:space="preserve"> =SUM(ABOVE) \# "#,##0.0" </w:instrText>
            </w:r>
            <w:r>
              <w:rPr>
                <w:b/>
              </w:rPr>
              <w:fldChar w:fldCharType="separate"/>
            </w:r>
            <w:r>
              <w:rPr>
                <w:b/>
                <w:noProof/>
              </w:rPr>
              <w:t xml:space="preserve"> 114.0</w:t>
            </w:r>
            <w:r>
              <w:rPr>
                <w:b/>
              </w:rPr>
              <w:fldChar w:fldCharType="end"/>
            </w:r>
          </w:p>
        </w:tc>
        <w:tc>
          <w:tcPr>
            <w:tcW w:w="907" w:type="dxa"/>
          </w:tcPr>
          <w:p w:rsidR="0056388A" w:rsidRPr="0054433A" w:rsidRDefault="0056388A"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sidR="00646A0F">
              <w:rPr>
                <w:b/>
                <w:noProof/>
              </w:rPr>
              <w:t>115.2</w:t>
            </w:r>
            <w:r>
              <w:rPr>
                <w:b/>
              </w:rPr>
              <w:fldChar w:fldCharType="end"/>
            </w:r>
          </w:p>
        </w:tc>
        <w:tc>
          <w:tcPr>
            <w:tcW w:w="907" w:type="dxa"/>
          </w:tcPr>
          <w:p w:rsidR="0056388A" w:rsidRPr="0054433A" w:rsidRDefault="0056388A"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sidR="00646A0F">
              <w:rPr>
                <w:b/>
                <w:noProof/>
              </w:rPr>
              <w:t>115.2</w:t>
            </w:r>
            <w:r>
              <w:rPr>
                <w:b/>
              </w:rPr>
              <w:fldChar w:fldCharType="end"/>
            </w:r>
          </w:p>
        </w:tc>
        <w:tc>
          <w:tcPr>
            <w:tcW w:w="907" w:type="dxa"/>
          </w:tcPr>
          <w:p w:rsidR="0056388A" w:rsidRPr="0054433A" w:rsidRDefault="0056388A" w:rsidP="0056388A">
            <w:pPr>
              <w:pStyle w:val="Paperparalevel2"/>
              <w:numPr>
                <w:ilvl w:val="0"/>
                <w:numId w:val="0"/>
              </w:numPr>
              <w:jc w:val="right"/>
              <w:rPr>
                <w:b/>
              </w:rPr>
            </w:pPr>
            <w:r>
              <w:rPr>
                <w:b/>
              </w:rPr>
              <w:fldChar w:fldCharType="begin"/>
            </w:r>
            <w:r>
              <w:rPr>
                <w:b/>
              </w:rPr>
              <w:instrText xml:space="preserve"> =SUM(ABOVE) </w:instrText>
            </w:r>
            <w:r>
              <w:rPr>
                <w:b/>
              </w:rPr>
              <w:fldChar w:fldCharType="separate"/>
            </w:r>
            <w:r w:rsidR="00646A0F">
              <w:rPr>
                <w:b/>
                <w:noProof/>
              </w:rPr>
              <w:t>116.1</w:t>
            </w:r>
            <w:r>
              <w:rPr>
                <w:b/>
              </w:rPr>
              <w:fldChar w:fldCharType="end"/>
            </w:r>
          </w:p>
        </w:tc>
      </w:tr>
    </w:tbl>
    <w:p w:rsidR="0056388A" w:rsidRPr="00563B82" w:rsidRDefault="0056388A" w:rsidP="0056388A">
      <w:pPr>
        <w:pStyle w:val="Paperparalevel2"/>
        <w:numPr>
          <w:ilvl w:val="0"/>
          <w:numId w:val="0"/>
        </w:numPr>
        <w:ind w:left="709"/>
      </w:pPr>
    </w:p>
    <w:p w:rsidR="00B13C52" w:rsidRDefault="00B13C52" w:rsidP="0056388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increase in staff costs 2023-24 compared to the 2018-19 </w:t>
      </w:r>
      <w:proofErr w:type="gramStart"/>
      <w:r>
        <w:rPr>
          <w:rFonts w:asciiTheme="minorHAnsi" w:hAnsiTheme="minorHAnsi" w:cstheme="minorHAnsi"/>
          <w:color w:val="auto"/>
          <w:sz w:val="22"/>
          <w:szCs w:val="22"/>
        </w:rPr>
        <w:t>baseline</w:t>
      </w:r>
      <w:proofErr w:type="gramEnd"/>
      <w:r>
        <w:rPr>
          <w:rFonts w:asciiTheme="minorHAnsi" w:hAnsiTheme="minorHAnsi" w:cstheme="minorHAnsi"/>
          <w:color w:val="auto"/>
          <w:sz w:val="22"/>
          <w:szCs w:val="22"/>
        </w:rPr>
        <w:t xml:space="preserve"> is 11.1%. The percentage increase for each college is 12.9% (City of Glasgow College), 12.6% (Glasgow Clyde College) and 4.9% (Glasgow Kelvin College).</w:t>
      </w:r>
    </w:p>
    <w:p w:rsidR="00B13C52" w:rsidRDefault="00B13C52" w:rsidP="0056388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Of the total increase of £11.6m, salaries account for £6.6, social security costs £0.9m and pension costs £4.1m.</w:t>
      </w:r>
    </w:p>
    <w:p w:rsidR="0056388A" w:rsidRDefault="00B13C52" w:rsidP="00C73630">
      <w:pPr>
        <w:pStyle w:val="Default"/>
        <w:numPr>
          <w:ilvl w:val="0"/>
          <w:numId w:val="5"/>
        </w:numPr>
        <w:spacing w:after="47"/>
        <w:ind w:left="1417"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baseline salary figure is £83.5m in 2018-19 and it is assumed that </w:t>
      </w:r>
      <w:r w:rsidR="005852A3">
        <w:rPr>
          <w:rFonts w:asciiTheme="minorHAnsi" w:hAnsiTheme="minorHAnsi" w:cstheme="minorHAnsi"/>
          <w:color w:val="auto"/>
          <w:sz w:val="22"/>
          <w:szCs w:val="22"/>
        </w:rPr>
        <w:t xml:space="preserve">the annual </w:t>
      </w:r>
      <w:r>
        <w:rPr>
          <w:rFonts w:asciiTheme="minorHAnsi" w:hAnsiTheme="minorHAnsi" w:cstheme="minorHAnsi"/>
          <w:color w:val="auto"/>
          <w:sz w:val="22"/>
          <w:szCs w:val="22"/>
        </w:rPr>
        <w:t>salar</w:t>
      </w:r>
      <w:r w:rsidR="005852A3">
        <w:rPr>
          <w:rFonts w:asciiTheme="minorHAnsi" w:hAnsiTheme="minorHAnsi" w:cstheme="minorHAnsi"/>
          <w:color w:val="auto"/>
          <w:sz w:val="22"/>
          <w:szCs w:val="22"/>
        </w:rPr>
        <w:t xml:space="preserve">y </w:t>
      </w:r>
      <w:r>
        <w:rPr>
          <w:rFonts w:asciiTheme="minorHAnsi" w:hAnsiTheme="minorHAnsi" w:cstheme="minorHAnsi"/>
          <w:color w:val="auto"/>
          <w:sz w:val="22"/>
          <w:szCs w:val="22"/>
        </w:rPr>
        <w:t xml:space="preserve">increase </w:t>
      </w:r>
      <w:r w:rsidR="000F772B">
        <w:rPr>
          <w:rFonts w:asciiTheme="minorHAnsi" w:hAnsiTheme="minorHAnsi" w:cstheme="minorHAnsi"/>
          <w:color w:val="auto"/>
          <w:sz w:val="22"/>
          <w:szCs w:val="22"/>
        </w:rPr>
        <w:t>will be</w:t>
      </w:r>
      <w:r>
        <w:rPr>
          <w:rFonts w:asciiTheme="minorHAnsi" w:hAnsiTheme="minorHAnsi" w:cstheme="minorHAnsi"/>
          <w:color w:val="auto"/>
          <w:sz w:val="22"/>
          <w:szCs w:val="22"/>
        </w:rPr>
        <w:t xml:space="preserve"> at least 2% per annum over the forecast period.</w:t>
      </w:r>
      <w:r w:rsidR="0056388A">
        <w:rPr>
          <w:rFonts w:asciiTheme="minorHAnsi" w:hAnsiTheme="minorHAnsi" w:cstheme="minorHAnsi"/>
          <w:color w:val="auto"/>
          <w:sz w:val="22"/>
          <w:szCs w:val="22"/>
        </w:rPr>
        <w:t xml:space="preserve"> </w:t>
      </w:r>
      <w:r w:rsidR="005852A3">
        <w:rPr>
          <w:rFonts w:asciiTheme="minorHAnsi" w:hAnsiTheme="minorHAnsi" w:cstheme="minorHAnsi"/>
          <w:color w:val="auto"/>
          <w:sz w:val="22"/>
          <w:szCs w:val="22"/>
        </w:rPr>
        <w:t xml:space="preserve">The baseline salary figure of £90.1m in 2023-24 could only be achieved by reducing the number of staff employed or a reduction in the median salary level. </w:t>
      </w:r>
    </w:p>
    <w:p w:rsidR="009C2B8F" w:rsidRPr="00FE3E8D" w:rsidRDefault="007855FA" w:rsidP="00C73630">
      <w:pPr>
        <w:pStyle w:val="Paperparalevel1"/>
        <w:spacing w:before="240"/>
        <w:ind w:left="567" w:hanging="567"/>
      </w:pPr>
      <w:r w:rsidRPr="007855FA">
        <w:t>Summary</w:t>
      </w:r>
    </w:p>
    <w:p w:rsidR="00FE3E8D" w:rsidRPr="00C73630" w:rsidRDefault="00FE3E8D" w:rsidP="00C73630">
      <w:pPr>
        <w:pStyle w:val="Paperparalevel2"/>
        <w:ind w:left="1134" w:hanging="567"/>
      </w:pPr>
      <w:r>
        <w:t>The following observations are offered by way of a summary:</w:t>
      </w:r>
    </w:p>
    <w:p w:rsidR="009078E6" w:rsidRDefault="008D4E42" w:rsidP="007855F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The financial</w:t>
      </w:r>
      <w:r w:rsidR="00FE3E8D">
        <w:rPr>
          <w:rFonts w:asciiTheme="minorHAnsi" w:hAnsiTheme="minorHAnsi" w:cstheme="minorHAnsi"/>
          <w:color w:val="auto"/>
          <w:sz w:val="22"/>
          <w:szCs w:val="22"/>
        </w:rPr>
        <w:t xml:space="preserve"> forecast return is prepared </w:t>
      </w:r>
      <w:r w:rsidR="009078E6" w:rsidRPr="007855FA">
        <w:rPr>
          <w:rFonts w:asciiTheme="minorHAnsi" w:hAnsiTheme="minorHAnsi" w:cstheme="minorHAnsi"/>
          <w:color w:val="auto"/>
          <w:sz w:val="22"/>
          <w:szCs w:val="22"/>
        </w:rPr>
        <w:t xml:space="preserve">on </w:t>
      </w:r>
      <w:r w:rsidR="00FE3E8D">
        <w:rPr>
          <w:rFonts w:asciiTheme="minorHAnsi" w:hAnsiTheme="minorHAnsi" w:cstheme="minorHAnsi"/>
          <w:color w:val="auto"/>
          <w:sz w:val="22"/>
          <w:szCs w:val="22"/>
        </w:rPr>
        <w:t xml:space="preserve">an </w:t>
      </w:r>
      <w:r w:rsidR="009078E6" w:rsidRPr="007855FA">
        <w:rPr>
          <w:rFonts w:asciiTheme="minorHAnsi" w:hAnsiTheme="minorHAnsi" w:cstheme="minorHAnsi"/>
          <w:color w:val="auto"/>
          <w:sz w:val="22"/>
          <w:szCs w:val="22"/>
        </w:rPr>
        <w:t xml:space="preserve">institutional </w:t>
      </w:r>
      <w:r w:rsidR="00FE3E8D">
        <w:rPr>
          <w:rFonts w:asciiTheme="minorHAnsi" w:hAnsiTheme="minorHAnsi" w:cstheme="minorHAnsi"/>
          <w:color w:val="auto"/>
          <w:sz w:val="22"/>
          <w:szCs w:val="22"/>
        </w:rPr>
        <w:t>basis and then consolidated to form a regional total.</w:t>
      </w:r>
    </w:p>
    <w:p w:rsidR="008D4E42" w:rsidRDefault="008D4E42" w:rsidP="007855F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The summary p</w:t>
      </w:r>
      <w:r w:rsidR="00E154CD">
        <w:rPr>
          <w:rFonts w:asciiTheme="minorHAnsi" w:hAnsiTheme="minorHAnsi" w:cstheme="minorHAnsi"/>
          <w:color w:val="auto"/>
          <w:sz w:val="22"/>
          <w:szCs w:val="22"/>
        </w:rPr>
        <w:t>osition reflects difficult decisions, and actions, that have been implemented to achieve this outcome. The initial impression of the regional position may be more positive than the underlying position because of this.</w:t>
      </w:r>
    </w:p>
    <w:p w:rsidR="00FE3E8D" w:rsidRDefault="00FE3E8D" w:rsidP="007855F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financial forecast return is a spreadsheet tool prepared at a point in time (i.e. summer 2019). It is not a dynamic planning tool but is subject to an update </w:t>
      </w:r>
      <w:r w:rsidR="00E154CD">
        <w:rPr>
          <w:rFonts w:asciiTheme="minorHAnsi" w:hAnsiTheme="minorHAnsi" w:cstheme="minorHAnsi"/>
          <w:color w:val="auto"/>
          <w:sz w:val="22"/>
          <w:szCs w:val="22"/>
        </w:rPr>
        <w:t xml:space="preserve">at the mid-year point (due </w:t>
      </w:r>
      <w:r>
        <w:rPr>
          <w:rFonts w:asciiTheme="minorHAnsi" w:hAnsiTheme="minorHAnsi" w:cstheme="minorHAnsi"/>
          <w:color w:val="auto"/>
          <w:sz w:val="22"/>
          <w:szCs w:val="22"/>
        </w:rPr>
        <w:t>February 2020</w:t>
      </w:r>
      <w:r w:rsidR="00E154CD">
        <w:rPr>
          <w:rFonts w:asciiTheme="minorHAnsi" w:hAnsiTheme="minorHAnsi" w:cstheme="minorHAnsi"/>
          <w:color w:val="auto"/>
          <w:sz w:val="22"/>
          <w:szCs w:val="22"/>
        </w:rPr>
        <w:t>)</w:t>
      </w:r>
      <w:r>
        <w:rPr>
          <w:rFonts w:asciiTheme="minorHAnsi" w:hAnsiTheme="minorHAnsi" w:cstheme="minorHAnsi"/>
          <w:color w:val="auto"/>
          <w:sz w:val="22"/>
          <w:szCs w:val="22"/>
        </w:rPr>
        <w:t>.</w:t>
      </w:r>
    </w:p>
    <w:p w:rsidR="00FE3E8D" w:rsidRDefault="00FE3E8D" w:rsidP="007855F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There is a degree of consistency in terms of planning assumptions but each organisation will also have a different attitude to risk. Within the individual college assumptions, one college may take a more optimistic view (say of income growth) than another.</w:t>
      </w:r>
    </w:p>
    <w:p w:rsidR="00FE3E8D" w:rsidRPr="007855FA" w:rsidRDefault="00FE3E8D" w:rsidP="007855F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The financial forecast return is complemented, and supplemented, by a range of individual college policies, procedures and plans. The </w:t>
      </w:r>
      <w:r w:rsidR="00E154CD">
        <w:rPr>
          <w:rFonts w:asciiTheme="minorHAnsi" w:hAnsiTheme="minorHAnsi" w:cstheme="minorHAnsi"/>
          <w:color w:val="auto"/>
          <w:sz w:val="22"/>
          <w:szCs w:val="22"/>
        </w:rPr>
        <w:t xml:space="preserve">quality and </w:t>
      </w:r>
      <w:r>
        <w:rPr>
          <w:rFonts w:asciiTheme="minorHAnsi" w:hAnsiTheme="minorHAnsi" w:cstheme="minorHAnsi"/>
          <w:color w:val="auto"/>
          <w:sz w:val="22"/>
          <w:szCs w:val="22"/>
        </w:rPr>
        <w:t>extent of this work underpins the assumptions within the return.</w:t>
      </w:r>
    </w:p>
    <w:p w:rsidR="00FE3E8D" w:rsidRDefault="008D4E42" w:rsidP="007855F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Financial sustainability tends to be considered at an institutional level with savings identified locally. Consideration of efficiency gains does not tend to emerge as a result of collaboration.</w:t>
      </w:r>
    </w:p>
    <w:p w:rsidR="008D4E42" w:rsidRDefault="008D4E42" w:rsidP="007855F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The annual funding (and ROA) cycle tends to focus attention towards short to medium term planning horizons.</w:t>
      </w:r>
    </w:p>
    <w:p w:rsidR="008D4E42" w:rsidRDefault="008D4E42" w:rsidP="007855FA">
      <w:pPr>
        <w:pStyle w:val="Default"/>
        <w:numPr>
          <w:ilvl w:val="0"/>
          <w:numId w:val="5"/>
        </w:numPr>
        <w:spacing w:after="47"/>
        <w:ind w:left="141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There is very little funding available to facilitate a change process (i.e. to support a revised strategic direction). Making a step change is challenging without the availability of investment funding. </w:t>
      </w:r>
    </w:p>
    <w:p w:rsidR="00E154CD" w:rsidRPr="00C73630" w:rsidRDefault="00E154CD" w:rsidP="00C73630">
      <w:pPr>
        <w:pStyle w:val="Paperparalevel2"/>
        <w:spacing w:before="240" w:after="0"/>
        <w:ind w:left="1134" w:hanging="567"/>
      </w:pPr>
      <w:r>
        <w:t>The observations outlined above provide opportunities for further development but also give a context to the numbers presented in this report.</w:t>
      </w:r>
    </w:p>
    <w:p w:rsidR="003C00B9" w:rsidRDefault="003C00B9" w:rsidP="006D0623">
      <w:pPr>
        <w:pStyle w:val="Paperparalevel2"/>
        <w:numPr>
          <w:ilvl w:val="0"/>
          <w:numId w:val="0"/>
        </w:numPr>
        <w:spacing w:after="0"/>
        <w:ind w:left="3901" w:hanging="357"/>
      </w:pPr>
    </w:p>
    <w:p w:rsidR="008F1A22" w:rsidRPr="003D462C" w:rsidRDefault="008F1A22" w:rsidP="00C73630">
      <w:pPr>
        <w:pStyle w:val="Paperparalevel1"/>
        <w:ind w:left="567" w:hanging="567"/>
      </w:pPr>
      <w:r>
        <w:t>Risk Analysis</w:t>
      </w:r>
    </w:p>
    <w:p w:rsidR="007D4484" w:rsidRPr="00C73630" w:rsidRDefault="007D4484" w:rsidP="00C73630">
      <w:pPr>
        <w:pStyle w:val="Paperparalevel2"/>
        <w:ind w:left="1134" w:hanging="567"/>
        <w:rPr>
          <w:i/>
        </w:rPr>
      </w:pPr>
      <w:r>
        <w:t>Th</w:t>
      </w:r>
      <w:r w:rsidR="00E154CD">
        <w:t xml:space="preserve">is report helps to inform discussion regarding financial sustainability and address </w:t>
      </w:r>
      <w:r w:rsidR="00E154CD" w:rsidRPr="00C73630">
        <w:rPr>
          <w:i/>
        </w:rPr>
        <w:t>Risk 008: Financial sustainability is jeopardised by a reduction in funding and/or an increa</w:t>
      </w:r>
      <w:r w:rsidR="00C73630">
        <w:rPr>
          <w:i/>
        </w:rPr>
        <w:t>se in costs</w:t>
      </w:r>
      <w:r w:rsidR="00FD6BEF" w:rsidRPr="00C73630">
        <w:rPr>
          <w:i/>
        </w:rPr>
        <w:t>.</w:t>
      </w:r>
    </w:p>
    <w:p w:rsidR="00697F49" w:rsidRDefault="00697F49" w:rsidP="00C73630">
      <w:pPr>
        <w:pStyle w:val="Paperparalevel1"/>
        <w:ind w:left="567" w:hanging="567"/>
      </w:pPr>
      <w:r>
        <w:t>Equalities Implications</w:t>
      </w:r>
    </w:p>
    <w:p w:rsidR="00697F49" w:rsidRDefault="00697F49" w:rsidP="00C73630">
      <w:pPr>
        <w:pStyle w:val="Paperparalevel2"/>
        <w:ind w:left="1134" w:hanging="567"/>
      </w:pPr>
      <w:r>
        <w:t>There are n</w:t>
      </w:r>
      <w:r w:rsidRPr="000B5273">
        <w:t xml:space="preserve">o </w:t>
      </w:r>
      <w:r>
        <w:t>equalities</w:t>
      </w:r>
      <w:r w:rsidRPr="000B5273">
        <w:t xml:space="preserve"> implications a</w:t>
      </w:r>
      <w:r>
        <w:t>s a direct result of this report.</w:t>
      </w:r>
    </w:p>
    <w:p w:rsidR="007D4484" w:rsidRDefault="007D4484" w:rsidP="00C73630">
      <w:pPr>
        <w:pStyle w:val="Paperparalevel1"/>
        <w:ind w:left="567" w:hanging="567"/>
      </w:pPr>
      <w:r>
        <w:t>Legal Implications</w:t>
      </w:r>
    </w:p>
    <w:p w:rsidR="007D4484" w:rsidRDefault="007D4484" w:rsidP="00C73630">
      <w:pPr>
        <w:pStyle w:val="Paperparalevel2"/>
        <w:ind w:left="1134" w:hanging="567"/>
      </w:pPr>
      <w:r>
        <w:t>There are no specific legal implications ass</w:t>
      </w:r>
      <w:r w:rsidR="00427787">
        <w:t>ociated with this report</w:t>
      </w:r>
      <w:r>
        <w:t>.</w:t>
      </w:r>
    </w:p>
    <w:p w:rsidR="007D4484" w:rsidRDefault="007D4484" w:rsidP="00C73630">
      <w:pPr>
        <w:pStyle w:val="Paperparalevel1"/>
        <w:ind w:left="567" w:hanging="567"/>
      </w:pPr>
      <w:r>
        <w:t>Financial Implications</w:t>
      </w:r>
    </w:p>
    <w:p w:rsidR="007D4484" w:rsidRDefault="00831D48" w:rsidP="00C73630">
      <w:pPr>
        <w:pStyle w:val="Paperparalevel2"/>
        <w:ind w:left="1134" w:hanging="567"/>
      </w:pPr>
      <w:r>
        <w:t>The</w:t>
      </w:r>
      <w:r w:rsidR="000B6E96">
        <w:t xml:space="preserve"> </w:t>
      </w:r>
      <w:r w:rsidR="00245DEA">
        <w:t>financial implications associated with th</w:t>
      </w:r>
      <w:r w:rsidR="000B6E96">
        <w:t>e</w:t>
      </w:r>
      <w:r w:rsidR="00245DEA">
        <w:t xml:space="preserve"> </w:t>
      </w:r>
      <w:r w:rsidR="006069E4">
        <w:t xml:space="preserve">Financial Forecast Return </w:t>
      </w:r>
      <w:r w:rsidR="000B6E96">
        <w:t>are set out in the body of the report</w:t>
      </w:r>
      <w:r>
        <w:t>.</w:t>
      </w:r>
    </w:p>
    <w:p w:rsidR="00831D48" w:rsidRDefault="005A4BBE" w:rsidP="00E154CD">
      <w:pPr>
        <w:pStyle w:val="Paperparalevel1"/>
        <w:ind w:left="567" w:hanging="567"/>
      </w:pPr>
      <w:r>
        <w:t>Strategic Plan</w:t>
      </w:r>
      <w:r w:rsidR="00831D48">
        <w:t xml:space="preserve"> Implications</w:t>
      </w:r>
    </w:p>
    <w:p w:rsidR="00356D2E" w:rsidRDefault="00245DEA" w:rsidP="00C73630">
      <w:pPr>
        <w:pStyle w:val="Paperparalevel2"/>
        <w:ind w:left="1134" w:hanging="567"/>
      </w:pPr>
      <w:r>
        <w:t>Th</w:t>
      </w:r>
      <w:r w:rsidR="005A4BBE">
        <w:t xml:space="preserve">e ability to deliver the </w:t>
      </w:r>
      <w:r>
        <w:t>Regional Outcome Agreemen</w:t>
      </w:r>
      <w:r w:rsidR="006069E4">
        <w:t>t</w:t>
      </w:r>
      <w:r w:rsidR="005A4BBE">
        <w:t xml:space="preserve"> </w:t>
      </w:r>
      <w:r w:rsidR="00CE4546">
        <w:t xml:space="preserve">and Strategic Plan are directly </w:t>
      </w:r>
      <w:r w:rsidR="005A4BBE">
        <w:t>affected by the future resources</w:t>
      </w:r>
      <w:r w:rsidR="006069E4">
        <w:t>.</w:t>
      </w:r>
      <w:r w:rsidR="005A4BBE">
        <w:t xml:space="preserve">  The Financial Forecast Returns contribute to the long-term financial planning and therefore the ability to achieve the regional ambitions.</w:t>
      </w:r>
    </w:p>
    <w:p w:rsidR="00BB4FB7" w:rsidRDefault="00C434CA" w:rsidP="00CA68BB">
      <w:pPr>
        <w:spacing w:after="200" w:line="276" w:lineRule="auto"/>
      </w:pPr>
      <w:r>
        <w:br w:type="page"/>
      </w:r>
    </w:p>
    <w:p w:rsidR="00C434CA" w:rsidRPr="00C434CA" w:rsidRDefault="00C434CA" w:rsidP="00C434CA">
      <w:pPr>
        <w:pStyle w:val="Paperparalevel2"/>
        <w:numPr>
          <w:ilvl w:val="0"/>
          <w:numId w:val="0"/>
        </w:numPr>
        <w:ind w:left="425" w:hanging="425"/>
        <w:rPr>
          <w:b/>
          <w:sz w:val="28"/>
          <w:szCs w:val="28"/>
        </w:rPr>
      </w:pPr>
      <w:r w:rsidRPr="00C434CA">
        <w:rPr>
          <w:b/>
          <w:sz w:val="28"/>
          <w:szCs w:val="28"/>
        </w:rPr>
        <w:lastRenderedPageBreak/>
        <w:t xml:space="preserve">Annex </w:t>
      </w:r>
      <w:proofErr w:type="gramStart"/>
      <w:r w:rsidRPr="00C434CA">
        <w:rPr>
          <w:b/>
          <w:sz w:val="28"/>
          <w:szCs w:val="28"/>
        </w:rPr>
        <w:t>A</w:t>
      </w:r>
      <w:proofErr w:type="gramEnd"/>
      <w:r w:rsidRPr="00C434CA">
        <w:rPr>
          <w:b/>
          <w:sz w:val="28"/>
          <w:szCs w:val="28"/>
        </w:rPr>
        <w:t xml:space="preserve"> - Underlying Assumptions – College Sector</w:t>
      </w:r>
    </w:p>
    <w:p w:rsidR="00C434CA" w:rsidRDefault="00C434CA" w:rsidP="00EE0B16">
      <w:pPr>
        <w:pStyle w:val="Paperparalevel2"/>
        <w:numPr>
          <w:ilvl w:val="0"/>
          <w:numId w:val="0"/>
        </w:numPr>
      </w:pPr>
    </w:p>
    <w:p w:rsidR="005C32A4" w:rsidRDefault="005C32A4" w:rsidP="00EE0B16">
      <w:pPr>
        <w:pStyle w:val="Paperparalevel2"/>
        <w:numPr>
          <w:ilvl w:val="0"/>
          <w:numId w:val="0"/>
        </w:numPr>
      </w:pPr>
      <w:r>
        <w:t>The following assumptions were determined by the Scottish Funding Counc</w:t>
      </w:r>
      <w:r w:rsidR="000E6962">
        <w:t>il and set out in SFC/CI/04/2019</w:t>
      </w:r>
      <w:r>
        <w:t xml:space="preserve"> </w:t>
      </w:r>
      <w:r w:rsidR="003832EE">
        <w:t>(</w:t>
      </w:r>
      <w:hyperlink r:id="rId10" w:history="1">
        <w:r w:rsidR="000E6962">
          <w:rPr>
            <w:rStyle w:val="Hyperlink"/>
          </w:rPr>
          <w:t>http://www.sfc.ac.uk/web/FILES/callsforinformation_sfcci042019/SFCCI042019_Call_for_information_2019_FFR.pdf</w:t>
        </w:r>
      </w:hyperlink>
      <w:r w:rsidR="000E6962">
        <w:t>)</w:t>
      </w:r>
    </w:p>
    <w:p w:rsidR="000E6962" w:rsidRDefault="000E6962" w:rsidP="000E6962">
      <w:pPr>
        <w:pStyle w:val="Paperparalevel2"/>
        <w:numPr>
          <w:ilvl w:val="0"/>
          <w:numId w:val="0"/>
        </w:numPr>
        <w:spacing w:after="120"/>
      </w:pPr>
    </w:p>
    <w:p w:rsidR="000E6962" w:rsidRDefault="000E6962" w:rsidP="000E6962">
      <w:pPr>
        <w:pStyle w:val="Paperparalevel2"/>
        <w:numPr>
          <w:ilvl w:val="0"/>
          <w:numId w:val="0"/>
        </w:numPr>
        <w:spacing w:after="120"/>
      </w:pPr>
      <w:r>
        <w:t>In order to assist colleges with planning and to ensure consistency across the sector, SFC has provided guidance below on key assumptions that should be used in producing financial forecasts. It is important to note that we have no information on Scottish Government budgets beyond Financial Year 2019-20 so these assumptions are indicative. Institutions should therefore also develop additional planning scenarios if they believe they are more appropriate for their operating environment / circumstances.</w:t>
      </w:r>
    </w:p>
    <w:p w:rsidR="000E6962" w:rsidRDefault="000E6962" w:rsidP="00CA68BB">
      <w:pPr>
        <w:pStyle w:val="Paperparalevel2"/>
        <w:numPr>
          <w:ilvl w:val="0"/>
          <w:numId w:val="0"/>
        </w:numPr>
        <w:spacing w:after="0"/>
      </w:pPr>
    </w:p>
    <w:p w:rsidR="000E6962" w:rsidRPr="000E6962" w:rsidRDefault="000E6962" w:rsidP="000E6962">
      <w:pPr>
        <w:pStyle w:val="Paperparalevel2"/>
        <w:numPr>
          <w:ilvl w:val="0"/>
          <w:numId w:val="0"/>
        </w:numPr>
        <w:spacing w:after="120"/>
        <w:rPr>
          <w:b/>
        </w:rPr>
      </w:pPr>
      <w:r w:rsidRPr="000E6962">
        <w:rPr>
          <w:b/>
        </w:rPr>
        <w:t>Credits and teaching income (Core and European Social Fund activity)</w:t>
      </w:r>
    </w:p>
    <w:p w:rsidR="000E6962" w:rsidRDefault="000E6962" w:rsidP="000E6962">
      <w:pPr>
        <w:pStyle w:val="Paperparalevel2"/>
        <w:numPr>
          <w:ilvl w:val="0"/>
          <w:numId w:val="0"/>
        </w:numPr>
        <w:spacing w:after="120"/>
      </w:pPr>
      <w:r>
        <w:t xml:space="preserve">Core funding and additional funding for ESF activity for 2019-20 should be based on the final funding allocations announced on 17 May 2019 (SFC/AN/10/2019). Table 1 </w:t>
      </w:r>
      <w:r w:rsidR="003C66B3" w:rsidRPr="003C66B3">
        <w:rPr>
          <w:i/>
          <w:color w:val="002060"/>
        </w:rPr>
        <w:t>(within the SFC Circular)</w:t>
      </w:r>
      <w:r w:rsidR="003C66B3" w:rsidRPr="003C66B3">
        <w:rPr>
          <w:color w:val="002060"/>
        </w:rPr>
        <w:t xml:space="preserve"> </w:t>
      </w:r>
      <w:r>
        <w:t xml:space="preserve">provides details of indicative funding allocations for the period to 2023-24 for planning purposes. It should be noted that funding has not been assumed to cover inflationary pressures as we continue to expect institutions to deliver efficiency savings of at </w:t>
      </w:r>
      <w:r w:rsidR="003C66B3">
        <w:t>least 3% per annum.</w:t>
      </w:r>
    </w:p>
    <w:p w:rsidR="000E6962" w:rsidRDefault="000E6962" w:rsidP="000E6962">
      <w:pPr>
        <w:pStyle w:val="Paperparalevel2"/>
        <w:numPr>
          <w:ilvl w:val="0"/>
          <w:numId w:val="0"/>
        </w:numPr>
        <w:spacing w:after="120"/>
      </w:pPr>
      <w:r>
        <w:t xml:space="preserve">Table 2 </w:t>
      </w:r>
      <w:r w:rsidR="003C66B3" w:rsidRPr="003C66B3">
        <w:rPr>
          <w:i/>
          <w:color w:val="002060"/>
        </w:rPr>
        <w:t>(within the SFC Circular)</w:t>
      </w:r>
      <w:r w:rsidR="003C66B3" w:rsidRPr="003C66B3">
        <w:rPr>
          <w:color w:val="002060"/>
        </w:rPr>
        <w:t xml:space="preserve"> </w:t>
      </w:r>
      <w:r>
        <w:t>assumes that there are no plans to revise activity targets for any region prior to 2022-23 when there will be a 2.9% reduction at sector level in activity – this is based on the assumption that the Developing Scotland’s Workforce (DSW) European Social Fund (ESF) programme will end in 2021-22. Due to demographic changes and other factors, it may be appropriate for institutions to consider an increase or reduction in the activit</w:t>
      </w:r>
      <w:r w:rsidR="003C66B3">
        <w:t>y targets reflected in Table 2.</w:t>
      </w:r>
    </w:p>
    <w:p w:rsidR="000E6962" w:rsidRDefault="000E6962" w:rsidP="000E6962">
      <w:pPr>
        <w:pStyle w:val="Paperparalevel2"/>
        <w:numPr>
          <w:ilvl w:val="0"/>
          <w:numId w:val="0"/>
        </w:numPr>
        <w:spacing w:after="120"/>
      </w:pPr>
      <w:r>
        <w:t>SFC plans to return to formula funding by 2022-23. SFC has taken the assumed activity levels (once the ESF project ends) and derived the funding levels for this activity based on the current credit funding model. In 2019-20, the National Bargaining harmonisation / job evaluation funding has been allocated in accordance with the Colleges Scotland costings. Under the formula model, the harmonisation / job evaluation costs will be spread across the sector by increasing the price per credit. Therefore, there will be a redistribution of harmonisation / job evaluation funding from some colleges to others. This is because funding is not shared equally in 2019-20 but will be used to increase the price per credit from 2020-21 which will spread the funding more equally across the sector.</w:t>
      </w:r>
    </w:p>
    <w:p w:rsidR="000E6962" w:rsidRDefault="000E6962" w:rsidP="000E6962">
      <w:pPr>
        <w:pStyle w:val="Paperparalevel2"/>
        <w:numPr>
          <w:ilvl w:val="0"/>
          <w:numId w:val="0"/>
        </w:numPr>
        <w:spacing w:after="120"/>
      </w:pPr>
      <w:r>
        <w:t>SFC is aware that some colleges will find it challenging to transition to these funding levels by 2022-23 even though there will be a reduction in places to offset the reduction in funding. We therefore</w:t>
      </w:r>
      <w:r w:rsidR="003C66B3">
        <w:t xml:space="preserve"> plan to use the £8 million SFC </w:t>
      </w:r>
      <w:r>
        <w:t>contribution to ESF funding to mitigate the larger losses for 2022-23. Funding reductions have been capped at 4% for 2022-23. This mitigation is reflected in Table 1.</w:t>
      </w:r>
    </w:p>
    <w:p w:rsidR="000E6962" w:rsidRDefault="000E6962" w:rsidP="000E6962">
      <w:pPr>
        <w:pStyle w:val="Paperparalevel2"/>
        <w:numPr>
          <w:ilvl w:val="0"/>
          <w:numId w:val="0"/>
        </w:numPr>
        <w:spacing w:after="120"/>
      </w:pPr>
    </w:p>
    <w:p w:rsidR="003C66B3" w:rsidRDefault="003C66B3">
      <w:pPr>
        <w:spacing w:after="200" w:line="276" w:lineRule="auto"/>
      </w:pPr>
      <w:r>
        <w:br w:type="page"/>
      </w:r>
    </w:p>
    <w:p w:rsidR="000E6962" w:rsidRDefault="000E6962" w:rsidP="000E6962">
      <w:pPr>
        <w:pStyle w:val="Paperparalevel2"/>
        <w:numPr>
          <w:ilvl w:val="0"/>
          <w:numId w:val="0"/>
        </w:numPr>
        <w:spacing w:after="120"/>
      </w:pPr>
      <w:r>
        <w:lastRenderedPageBreak/>
        <w:t>Institutions should use the planning assumptions set out in Table 1 and Table 2 to prepare the FFR. In addition, we would encourage institutions to develop additional alternative scenarios and consider how these would impact on forecasts. For instance, due to demographic changes and other factors, it may be appropriate for institutions to consider an increase or reduction in the activity targets reflected in Table 2. SFC will continue to work with the college sector and other key stakeholders, through the College Funding Group, on the deve</w:t>
      </w:r>
      <w:r w:rsidR="003C66B3">
        <w:t>lopment of SFC’s funding model.</w:t>
      </w:r>
    </w:p>
    <w:p w:rsidR="000E6962" w:rsidRDefault="000E6962" w:rsidP="000E6962">
      <w:pPr>
        <w:pStyle w:val="Paperparalevel2"/>
        <w:numPr>
          <w:ilvl w:val="0"/>
          <w:numId w:val="0"/>
        </w:numPr>
        <w:spacing w:after="120"/>
      </w:pPr>
      <w:r>
        <w:t>Clearly, Regional Strategic Bodies will need to advise their assigned colleges of their funding assumptions over the forecast period to 2023-24.</w:t>
      </w:r>
    </w:p>
    <w:p w:rsidR="000E6962" w:rsidRDefault="000E6962" w:rsidP="00CA68BB">
      <w:pPr>
        <w:pStyle w:val="Paperparalevel2"/>
        <w:numPr>
          <w:ilvl w:val="0"/>
          <w:numId w:val="0"/>
        </w:numPr>
        <w:spacing w:after="0"/>
      </w:pPr>
    </w:p>
    <w:p w:rsidR="000E6962" w:rsidRPr="003C66B3" w:rsidRDefault="003C66B3" w:rsidP="000E6962">
      <w:pPr>
        <w:pStyle w:val="Paperparalevel2"/>
        <w:numPr>
          <w:ilvl w:val="0"/>
          <w:numId w:val="0"/>
        </w:numPr>
        <w:spacing w:after="120"/>
        <w:rPr>
          <w:b/>
        </w:rPr>
      </w:pPr>
      <w:r w:rsidRPr="003C66B3">
        <w:rPr>
          <w:b/>
        </w:rPr>
        <w:t>Student support funding</w:t>
      </w:r>
    </w:p>
    <w:p w:rsidR="000E6962" w:rsidRDefault="000E6962" w:rsidP="000E6962">
      <w:pPr>
        <w:pStyle w:val="Paperparalevel2"/>
        <w:numPr>
          <w:ilvl w:val="0"/>
          <w:numId w:val="0"/>
        </w:numPr>
        <w:spacing w:after="120"/>
      </w:pPr>
      <w:r>
        <w:t xml:space="preserve">Colleges should assume that all student support funding </w:t>
      </w:r>
      <w:r w:rsidR="003C66B3">
        <w:t xml:space="preserve">requirements will be fully met. </w:t>
      </w:r>
      <w:r>
        <w:t>Regional Strategic Bodies will need to advise their assigned colleges of their funding assumptions over the forecast period to 2023-24.</w:t>
      </w:r>
    </w:p>
    <w:p w:rsidR="000E6962" w:rsidRDefault="000E6962" w:rsidP="00CA68BB">
      <w:pPr>
        <w:pStyle w:val="Paperparalevel2"/>
        <w:numPr>
          <w:ilvl w:val="0"/>
          <w:numId w:val="0"/>
        </w:numPr>
        <w:spacing w:after="0"/>
      </w:pPr>
    </w:p>
    <w:p w:rsidR="000E6962" w:rsidRPr="003C66B3" w:rsidRDefault="003C66B3" w:rsidP="000E6962">
      <w:pPr>
        <w:pStyle w:val="Paperparalevel2"/>
        <w:numPr>
          <w:ilvl w:val="0"/>
          <w:numId w:val="0"/>
        </w:numPr>
        <w:spacing w:after="120"/>
        <w:rPr>
          <w:b/>
        </w:rPr>
      </w:pPr>
      <w:r>
        <w:rPr>
          <w:b/>
        </w:rPr>
        <w:t>Capital Maintenance</w:t>
      </w:r>
    </w:p>
    <w:p w:rsidR="000E6962" w:rsidRDefault="000E6962" w:rsidP="000E6962">
      <w:pPr>
        <w:pStyle w:val="Paperparalevel2"/>
        <w:numPr>
          <w:ilvl w:val="0"/>
          <w:numId w:val="0"/>
        </w:numPr>
        <w:spacing w:after="120"/>
      </w:pPr>
      <w:r>
        <w:t>SFC Capital Maintenance funding should be based on the final 2019-20 funding alloca</w:t>
      </w:r>
      <w:r w:rsidR="003C66B3">
        <w:t xml:space="preserve">tions announced on 17 May 2019. </w:t>
      </w:r>
      <w:r>
        <w:t>Regional Strategic Bodies will need to advise their assigned colleges of their funding assumptions over the forecast period to 2023-24.</w:t>
      </w:r>
    </w:p>
    <w:p w:rsidR="000E6962" w:rsidRDefault="000E6962" w:rsidP="00CA68BB">
      <w:pPr>
        <w:pStyle w:val="Paperparalevel2"/>
        <w:numPr>
          <w:ilvl w:val="0"/>
          <w:numId w:val="0"/>
        </w:numPr>
        <w:spacing w:after="0"/>
      </w:pPr>
    </w:p>
    <w:p w:rsidR="000E6962" w:rsidRPr="003C66B3" w:rsidRDefault="003C66B3" w:rsidP="000E6962">
      <w:pPr>
        <w:pStyle w:val="Paperparalevel2"/>
        <w:numPr>
          <w:ilvl w:val="0"/>
          <w:numId w:val="0"/>
        </w:numPr>
        <w:spacing w:after="120"/>
        <w:rPr>
          <w:b/>
        </w:rPr>
      </w:pPr>
      <w:r w:rsidRPr="003C66B3">
        <w:rPr>
          <w:b/>
        </w:rPr>
        <w:t>Non-SFC income</w:t>
      </w:r>
    </w:p>
    <w:p w:rsidR="000E6962" w:rsidRDefault="000E6962" w:rsidP="000E6962">
      <w:pPr>
        <w:pStyle w:val="Paperparalevel2"/>
        <w:numPr>
          <w:ilvl w:val="0"/>
          <w:numId w:val="0"/>
        </w:numPr>
        <w:spacing w:after="120"/>
      </w:pPr>
      <w:r>
        <w:t>Assumptions for non-SFC income projections should be prepared taking account of local circumstances. Institutions will need to take account of the latest available information from staff with responsibility for securing and delivering non-SFC funded activity while taking account of anticipated levels of demand.</w:t>
      </w:r>
    </w:p>
    <w:p w:rsidR="000E6962" w:rsidRDefault="000E6962" w:rsidP="00CA68BB">
      <w:pPr>
        <w:pStyle w:val="Paperparalevel2"/>
        <w:numPr>
          <w:ilvl w:val="0"/>
          <w:numId w:val="0"/>
        </w:numPr>
        <w:spacing w:after="0"/>
      </w:pPr>
    </w:p>
    <w:p w:rsidR="000E6962" w:rsidRPr="003C66B3" w:rsidRDefault="003C66B3" w:rsidP="000E6962">
      <w:pPr>
        <w:pStyle w:val="Paperparalevel2"/>
        <w:numPr>
          <w:ilvl w:val="0"/>
          <w:numId w:val="0"/>
        </w:numPr>
        <w:spacing w:after="120"/>
        <w:rPr>
          <w:b/>
        </w:rPr>
      </w:pPr>
      <w:r>
        <w:rPr>
          <w:b/>
        </w:rPr>
        <w:t>Staff costs</w:t>
      </w:r>
    </w:p>
    <w:p w:rsidR="000E6962" w:rsidRDefault="000E6962" w:rsidP="000E6962">
      <w:pPr>
        <w:pStyle w:val="Paperparalevel2"/>
        <w:numPr>
          <w:ilvl w:val="0"/>
          <w:numId w:val="0"/>
        </w:numPr>
        <w:spacing w:after="120"/>
      </w:pPr>
      <w:r>
        <w:t>The impact of National Bargaining harmonisation / job evaluation costs for all staff and any workforce planning requirements should be incorporated in the FFR. Detail on this (up to and including 2019-20</w:t>
      </w:r>
      <w:r w:rsidR="003C66B3">
        <w:t xml:space="preserve">) has been provided by Colleges </w:t>
      </w:r>
      <w:r>
        <w:t>Scotland though it should be noted that some of the</w:t>
      </w:r>
      <w:r w:rsidR="003C66B3">
        <w:t>se costs are subject to change.</w:t>
      </w:r>
    </w:p>
    <w:p w:rsidR="000E6962" w:rsidRDefault="000E6962" w:rsidP="000E6962">
      <w:pPr>
        <w:pStyle w:val="Paperparalevel2"/>
        <w:numPr>
          <w:ilvl w:val="0"/>
          <w:numId w:val="0"/>
        </w:numPr>
        <w:spacing w:after="120"/>
      </w:pPr>
      <w:r>
        <w:t>Institutions should also factor in cost of living pay award increases for lecturing staff and for support staff. For support staff, forecasts should reflect the agreed pay award up to August 2020, and provide for increases arising from the current job evaluation exercise. For lecturing staff, forecasts should be based on the recently ratified pay, and terms and conditions agreement. For all staff, institutions should apply the Public Sector Pay Policy for each of the remaining years in the forecast period. Scottish Government continues to expect institutions to deliver efficiency savings of at least 3% per annum which should be taken into consideration in meeting the cost of living pay awards.</w:t>
      </w:r>
    </w:p>
    <w:p w:rsidR="000E6962" w:rsidRDefault="000E6962" w:rsidP="000E6962">
      <w:pPr>
        <w:pStyle w:val="Paperparalevel2"/>
        <w:numPr>
          <w:ilvl w:val="0"/>
          <w:numId w:val="0"/>
        </w:numPr>
        <w:spacing w:after="120"/>
      </w:pPr>
      <w:r>
        <w:t>Incremental increases should also be reflected throughout</w:t>
      </w:r>
      <w:r w:rsidR="003C66B3">
        <w:t xml:space="preserve"> the period, where appropriate.</w:t>
      </w:r>
    </w:p>
    <w:p w:rsidR="003C66B3" w:rsidRDefault="003C66B3">
      <w:pPr>
        <w:spacing w:after="200" w:line="276" w:lineRule="auto"/>
      </w:pPr>
      <w:r>
        <w:br w:type="page"/>
      </w:r>
    </w:p>
    <w:p w:rsidR="000E6962" w:rsidRDefault="000E6962" w:rsidP="000E6962">
      <w:pPr>
        <w:pStyle w:val="Paperparalevel2"/>
        <w:numPr>
          <w:ilvl w:val="0"/>
          <w:numId w:val="0"/>
        </w:numPr>
        <w:spacing w:after="120"/>
      </w:pPr>
      <w:r>
        <w:lastRenderedPageBreak/>
        <w:t>Institutions should not assume increases in social security costs. Pension cost forecasts should reflect any known or expected increases to employer contribution rates. Employer contribution rates for the Scottish Teachers Superannuation Scheme are due to increase from 17.2% to 23% on 1 September 2019 until 31 March 2023. The Scottish Government has recently agreed to fund the additional cost of the increase for the period 1 September 2019 to 31 March 2020. Institutions should therefore assume additional SFC grant (on top of SFC funding set out in Table 1) to cover this additional cost during the period 1 S</w:t>
      </w:r>
      <w:r w:rsidR="003C66B3">
        <w:t>eptember 2019 to 31 March 2020.</w:t>
      </w:r>
    </w:p>
    <w:p w:rsidR="000E6962" w:rsidRDefault="000E6962" w:rsidP="000E6962">
      <w:pPr>
        <w:pStyle w:val="Paperparalevel2"/>
        <w:numPr>
          <w:ilvl w:val="0"/>
          <w:numId w:val="0"/>
        </w:numPr>
        <w:spacing w:after="120"/>
      </w:pPr>
      <w:r>
        <w:t>For the purposes of this financial return, institutions should assume this additional funding (to cover the forecast increase in STSS employer contributions arising from the rate increase) will continue throughout the planning period to the end of AY 2023-24. However, you should note that this is a planning assumption and no decision has been made concerning funding beyond 31 March 2020 in line with the co</w:t>
      </w:r>
      <w:r w:rsidR="003C66B3">
        <w:t>mmunication dated 14 June 2019.</w:t>
      </w:r>
    </w:p>
    <w:p w:rsidR="000E6962" w:rsidRDefault="000E6962" w:rsidP="000E6962">
      <w:pPr>
        <w:pStyle w:val="Paperparalevel2"/>
        <w:numPr>
          <w:ilvl w:val="0"/>
          <w:numId w:val="0"/>
        </w:numPr>
        <w:spacing w:after="120"/>
      </w:pPr>
      <w:r>
        <w:t xml:space="preserve">The impact of voluntary severance costs should be consistent with the movement in staff FTE numbers. Institutions should not assume that funding will be provided for voluntary severance costs, </w:t>
      </w:r>
      <w:r w:rsidR="003C66B3">
        <w:t>unless already agreed with SFC.</w:t>
      </w:r>
    </w:p>
    <w:p w:rsidR="000E6962" w:rsidRDefault="000E6962" w:rsidP="000E6962">
      <w:pPr>
        <w:pStyle w:val="Paperparalevel2"/>
        <w:numPr>
          <w:ilvl w:val="0"/>
          <w:numId w:val="0"/>
        </w:numPr>
        <w:spacing w:after="120"/>
      </w:pPr>
      <w:r>
        <w:t>FRS 102 pension adjustments should be excluded from the forecasts.</w:t>
      </w:r>
    </w:p>
    <w:p w:rsidR="000E6962" w:rsidRDefault="000E6962" w:rsidP="00CA68BB">
      <w:pPr>
        <w:pStyle w:val="Paperparalevel2"/>
        <w:numPr>
          <w:ilvl w:val="0"/>
          <w:numId w:val="0"/>
        </w:numPr>
        <w:spacing w:after="0"/>
      </w:pPr>
    </w:p>
    <w:p w:rsidR="000E6962" w:rsidRPr="003C66B3" w:rsidRDefault="003C66B3" w:rsidP="000E6962">
      <w:pPr>
        <w:pStyle w:val="Paperparalevel2"/>
        <w:numPr>
          <w:ilvl w:val="0"/>
          <w:numId w:val="0"/>
        </w:numPr>
        <w:spacing w:after="120"/>
        <w:rPr>
          <w:b/>
        </w:rPr>
      </w:pPr>
      <w:r w:rsidRPr="003C66B3">
        <w:rPr>
          <w:b/>
        </w:rPr>
        <w:t>Non-staff costs</w:t>
      </w:r>
    </w:p>
    <w:p w:rsidR="000E6962" w:rsidRDefault="000E6962" w:rsidP="000E6962">
      <w:pPr>
        <w:pStyle w:val="Paperparalevel2"/>
        <w:numPr>
          <w:ilvl w:val="0"/>
          <w:numId w:val="0"/>
        </w:numPr>
        <w:spacing w:after="120"/>
      </w:pPr>
      <w:r>
        <w:t>Assumptions for non-staff cost projections should be prepared taking account of local circumstances. Institutions should use their current non-staff costs as a baseline and will need to take account of</w:t>
      </w:r>
      <w:r w:rsidR="003C66B3">
        <w:t xml:space="preserve"> movements in associated income </w:t>
      </w:r>
      <w:r>
        <w:t>streams. Institutions should demonstrate where they plan to generate efficiencies, where applicable.</w:t>
      </w:r>
    </w:p>
    <w:p w:rsidR="000E6962" w:rsidRDefault="000E6962" w:rsidP="00CA68BB">
      <w:pPr>
        <w:pStyle w:val="Paperparalevel2"/>
        <w:numPr>
          <w:ilvl w:val="0"/>
          <w:numId w:val="0"/>
        </w:numPr>
        <w:spacing w:after="0"/>
      </w:pPr>
    </w:p>
    <w:p w:rsidR="000E6962" w:rsidRPr="003C66B3" w:rsidRDefault="003C66B3" w:rsidP="000E6962">
      <w:pPr>
        <w:pStyle w:val="Paperparalevel2"/>
        <w:numPr>
          <w:ilvl w:val="0"/>
          <w:numId w:val="0"/>
        </w:numPr>
        <w:spacing w:after="120"/>
        <w:rPr>
          <w:b/>
        </w:rPr>
      </w:pPr>
      <w:r w:rsidRPr="003C66B3">
        <w:rPr>
          <w:b/>
        </w:rPr>
        <w:t>Estates</w:t>
      </w:r>
    </w:p>
    <w:p w:rsidR="000E6962" w:rsidRDefault="000E6962" w:rsidP="000E6962">
      <w:pPr>
        <w:pStyle w:val="Paperparalevel2"/>
        <w:numPr>
          <w:ilvl w:val="0"/>
          <w:numId w:val="0"/>
        </w:numPr>
        <w:spacing w:after="120"/>
      </w:pPr>
      <w:r>
        <w:t>Assumptions for estates-related costs should be prepared taking account of local circumstances.</w:t>
      </w:r>
    </w:p>
    <w:p w:rsidR="000E6962" w:rsidRDefault="000E6962" w:rsidP="00CA68BB">
      <w:pPr>
        <w:pStyle w:val="Paperparalevel2"/>
        <w:numPr>
          <w:ilvl w:val="0"/>
          <w:numId w:val="0"/>
        </w:numPr>
        <w:spacing w:after="0"/>
      </w:pPr>
    </w:p>
    <w:p w:rsidR="000E6962" w:rsidRPr="003C66B3" w:rsidRDefault="003C66B3" w:rsidP="000E6962">
      <w:pPr>
        <w:pStyle w:val="Paperparalevel2"/>
        <w:numPr>
          <w:ilvl w:val="0"/>
          <w:numId w:val="0"/>
        </w:numPr>
        <w:spacing w:after="120"/>
        <w:rPr>
          <w:b/>
        </w:rPr>
      </w:pPr>
      <w:r w:rsidRPr="003C66B3">
        <w:rPr>
          <w:b/>
        </w:rPr>
        <w:t>Disposals</w:t>
      </w:r>
    </w:p>
    <w:p w:rsidR="000E6962" w:rsidRDefault="000E6962" w:rsidP="000E6962">
      <w:pPr>
        <w:pStyle w:val="Paperparalevel2"/>
        <w:numPr>
          <w:ilvl w:val="0"/>
          <w:numId w:val="0"/>
        </w:numPr>
        <w:spacing w:after="120"/>
      </w:pPr>
      <w:r>
        <w:t>Forecasts should reflect any planned property disposals and include both expected proceeds and costs of disposal. Institutions should assume that proceeds will not be retained by the Institution, unless specifically agreed with Ministers / SFC.</w:t>
      </w:r>
    </w:p>
    <w:p w:rsidR="000E6962" w:rsidRDefault="000E6962" w:rsidP="00CA68BB">
      <w:pPr>
        <w:pStyle w:val="Paperparalevel2"/>
        <w:numPr>
          <w:ilvl w:val="0"/>
          <w:numId w:val="0"/>
        </w:numPr>
        <w:spacing w:after="0"/>
      </w:pPr>
    </w:p>
    <w:p w:rsidR="000E6962" w:rsidRPr="003C66B3" w:rsidRDefault="003C66B3" w:rsidP="000E6962">
      <w:pPr>
        <w:pStyle w:val="Paperparalevel2"/>
        <w:numPr>
          <w:ilvl w:val="0"/>
          <w:numId w:val="0"/>
        </w:numPr>
        <w:spacing w:after="120"/>
        <w:rPr>
          <w:b/>
        </w:rPr>
      </w:pPr>
      <w:r>
        <w:rPr>
          <w:b/>
        </w:rPr>
        <w:t>Key risks</w:t>
      </w:r>
    </w:p>
    <w:p w:rsidR="000E6962" w:rsidRDefault="000E6962" w:rsidP="000E6962">
      <w:pPr>
        <w:pStyle w:val="Paperparalevel2"/>
        <w:numPr>
          <w:ilvl w:val="0"/>
          <w:numId w:val="0"/>
        </w:numPr>
        <w:spacing w:after="120"/>
      </w:pPr>
      <w:r>
        <w:t>The ‘key risks’ page requests institutions to set out material risks to income and expenditure and, if possible, quantify these risks. These risks should correspond with institutions’ risk registers. It is expected that the results of this work will be reflected in the FFR financial commentary and associated papers that will be considered and approved by th</w:t>
      </w:r>
      <w:r w:rsidR="003C66B3">
        <w:t>e institution’s Governing Body.</w:t>
      </w:r>
    </w:p>
    <w:p w:rsidR="000E6962" w:rsidRDefault="000E6962" w:rsidP="000E6962">
      <w:pPr>
        <w:pStyle w:val="Paperparalevel2"/>
        <w:numPr>
          <w:ilvl w:val="0"/>
          <w:numId w:val="0"/>
        </w:numPr>
        <w:spacing w:after="120"/>
      </w:pPr>
      <w:r>
        <w:t>Institutions are requested to provide a copy of the Governing Body papers to SFC along with the FFR, and other scenarios presented to the Governing Body, in order to provide assurance that robust planning arrangements are in place.</w:t>
      </w:r>
    </w:p>
    <w:p w:rsidR="003C66B3" w:rsidRDefault="003C66B3" w:rsidP="003C66B3">
      <w:pPr>
        <w:pStyle w:val="Paperparalevel2"/>
        <w:numPr>
          <w:ilvl w:val="0"/>
          <w:numId w:val="0"/>
        </w:numPr>
        <w:spacing w:after="120"/>
        <w:rPr>
          <w:b/>
        </w:rPr>
      </w:pPr>
    </w:p>
    <w:p w:rsidR="000E6962" w:rsidRPr="003C66B3" w:rsidRDefault="003C66B3" w:rsidP="003C66B3">
      <w:pPr>
        <w:pStyle w:val="Paperparalevel2"/>
        <w:numPr>
          <w:ilvl w:val="0"/>
          <w:numId w:val="0"/>
        </w:numPr>
        <w:spacing w:after="120"/>
        <w:rPr>
          <w:b/>
        </w:rPr>
      </w:pPr>
      <w:r w:rsidRPr="003C66B3">
        <w:rPr>
          <w:b/>
        </w:rPr>
        <w:t>Cash forecasting</w:t>
      </w:r>
    </w:p>
    <w:p w:rsidR="00EE0B16" w:rsidRDefault="000E6962" w:rsidP="00442110">
      <w:pPr>
        <w:pStyle w:val="Paperparalevel2"/>
        <w:numPr>
          <w:ilvl w:val="0"/>
          <w:numId w:val="0"/>
        </w:numPr>
        <w:spacing w:after="0"/>
      </w:pPr>
      <w:r>
        <w:t xml:space="preserve">Institutions are required to provide high-level cash balances as part of the balance sheet projections for all years in the </w:t>
      </w:r>
      <w:r w:rsidR="00442110">
        <w:t>planning horizon.</w:t>
      </w:r>
    </w:p>
    <w:sectPr w:rsidR="00EE0B16" w:rsidSect="00356D2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8A" w:rsidRDefault="0056388A" w:rsidP="001B6AFB">
      <w:r>
        <w:separator/>
      </w:r>
    </w:p>
  </w:endnote>
  <w:endnote w:type="continuationSeparator" w:id="0">
    <w:p w:rsidR="0056388A" w:rsidRDefault="0056388A" w:rsidP="001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8A" w:rsidRDefault="005638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992030"/>
      <w:docPartObj>
        <w:docPartGallery w:val="Page Numbers (Bottom of Page)"/>
        <w:docPartUnique/>
      </w:docPartObj>
    </w:sdtPr>
    <w:sdtEndPr>
      <w:rPr>
        <w:noProof/>
      </w:rPr>
    </w:sdtEndPr>
    <w:sdtContent>
      <w:p w:rsidR="0056388A" w:rsidRDefault="0056388A">
        <w:pPr>
          <w:pStyle w:val="Footer"/>
          <w:jc w:val="center"/>
        </w:pPr>
        <w:r>
          <w:fldChar w:fldCharType="begin"/>
        </w:r>
        <w:r>
          <w:instrText xml:space="preserve"> PAGE   \* MERGEFORMAT </w:instrText>
        </w:r>
        <w:r>
          <w:fldChar w:fldCharType="separate"/>
        </w:r>
        <w:r w:rsidR="00F2123D">
          <w:rPr>
            <w:noProof/>
          </w:rPr>
          <w:t>1</w:t>
        </w:r>
        <w:r>
          <w:rPr>
            <w:noProof/>
          </w:rPr>
          <w:fldChar w:fldCharType="end"/>
        </w:r>
      </w:p>
    </w:sdtContent>
  </w:sdt>
  <w:p w:rsidR="0056388A" w:rsidRDefault="005638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8A" w:rsidRDefault="00563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8A" w:rsidRDefault="0056388A" w:rsidP="001B6AFB">
      <w:r>
        <w:separator/>
      </w:r>
    </w:p>
  </w:footnote>
  <w:footnote w:type="continuationSeparator" w:id="0">
    <w:p w:rsidR="0056388A" w:rsidRDefault="0056388A" w:rsidP="001B6AFB">
      <w:r>
        <w:continuationSeparator/>
      </w:r>
    </w:p>
  </w:footnote>
  <w:footnote w:id="1">
    <w:p w:rsidR="0056388A" w:rsidRDefault="0056388A">
      <w:pPr>
        <w:pStyle w:val="FootnoteText"/>
      </w:pPr>
      <w:r>
        <w:rPr>
          <w:rStyle w:val="FootnoteReference"/>
        </w:rPr>
        <w:footnoteRef/>
      </w:r>
      <w:r>
        <w:t xml:space="preserve"> This list is broadly based upon a list of challenges provided to the Board of Management of Glasgow Clyde College in September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8A" w:rsidRDefault="00563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8A" w:rsidRPr="00C434CA" w:rsidRDefault="0056388A" w:rsidP="00C434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8A" w:rsidRDefault="00563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1">
    <w:nsid w:val="494D47CC"/>
    <w:multiLevelType w:val="hybridMultilevel"/>
    <w:tmpl w:val="387C6532"/>
    <w:lvl w:ilvl="0" w:tplc="ACBE99A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CF251B"/>
    <w:multiLevelType w:val="multilevel"/>
    <w:tmpl w:val="4AD64FFE"/>
    <w:lvl w:ilvl="0">
      <w:start w:val="1"/>
      <w:numFmt w:val="decimal"/>
      <w:pStyle w:val="Paperparalevel1"/>
      <w:lvlText w:val="%1."/>
      <w:lvlJc w:val="left"/>
      <w:pPr>
        <w:ind w:left="720" w:hanging="360"/>
      </w:pPr>
      <w:rPr>
        <w:rFonts w:hint="default"/>
      </w:rPr>
    </w:lvl>
    <w:lvl w:ilvl="1">
      <w:start w:val="1"/>
      <w:numFmt w:val="decimal"/>
      <w:pStyle w:val="Paperparalevel2"/>
      <w:isLgl/>
      <w:lvlText w:val="%1.%2."/>
      <w:lvlJc w:val="left"/>
      <w:pPr>
        <w:ind w:left="3904" w:hanging="360"/>
      </w:pPr>
      <w:rPr>
        <w:rFonts w:hint="default"/>
        <w:b/>
        <w:i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60555DFD"/>
    <w:multiLevelType w:val="hybridMultilevel"/>
    <w:tmpl w:val="C38E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0233CC"/>
    <w:multiLevelType w:val="hybridMultilevel"/>
    <w:tmpl w:val="C1345EFC"/>
    <w:lvl w:ilvl="0" w:tplc="56046A5C">
      <w:start w:val="1"/>
      <w:numFmt w:val="bullet"/>
      <w:pStyle w:val="Bullets"/>
      <w:lvlText w:val="•"/>
      <w:lvlJc w:val="left"/>
      <w:pPr>
        <w:ind w:left="2632" w:hanging="413"/>
      </w:pPr>
      <w:rPr>
        <w:rFonts w:ascii="Calibri" w:eastAsia="Calibri" w:hAnsi="Calibri" w:hint="default"/>
        <w:w w:val="131"/>
        <w:sz w:val="26"/>
        <w:szCs w:val="26"/>
      </w:rPr>
    </w:lvl>
    <w:lvl w:ilvl="1" w:tplc="41AE2ADC">
      <w:start w:val="1"/>
      <w:numFmt w:val="bullet"/>
      <w:lvlText w:val="•"/>
      <w:lvlJc w:val="left"/>
      <w:pPr>
        <w:ind w:left="3387" w:hanging="413"/>
      </w:pPr>
      <w:rPr>
        <w:rFonts w:hint="default"/>
      </w:rPr>
    </w:lvl>
    <w:lvl w:ilvl="2" w:tplc="AB38F4C2">
      <w:start w:val="1"/>
      <w:numFmt w:val="bullet"/>
      <w:lvlText w:val="•"/>
      <w:lvlJc w:val="left"/>
      <w:pPr>
        <w:ind w:left="4142" w:hanging="413"/>
      </w:pPr>
      <w:rPr>
        <w:rFonts w:hint="default"/>
      </w:rPr>
    </w:lvl>
    <w:lvl w:ilvl="3" w:tplc="7F427160">
      <w:start w:val="1"/>
      <w:numFmt w:val="bullet"/>
      <w:lvlText w:val="•"/>
      <w:lvlJc w:val="left"/>
      <w:pPr>
        <w:ind w:left="4897" w:hanging="413"/>
      </w:pPr>
      <w:rPr>
        <w:rFonts w:hint="default"/>
      </w:rPr>
    </w:lvl>
    <w:lvl w:ilvl="4" w:tplc="FC3E881A">
      <w:start w:val="1"/>
      <w:numFmt w:val="bullet"/>
      <w:lvlText w:val="•"/>
      <w:lvlJc w:val="left"/>
      <w:pPr>
        <w:ind w:left="5653" w:hanging="413"/>
      </w:pPr>
      <w:rPr>
        <w:rFonts w:hint="default"/>
      </w:rPr>
    </w:lvl>
    <w:lvl w:ilvl="5" w:tplc="BE9ABDA4">
      <w:start w:val="1"/>
      <w:numFmt w:val="bullet"/>
      <w:lvlText w:val="•"/>
      <w:lvlJc w:val="left"/>
      <w:pPr>
        <w:ind w:left="6408" w:hanging="413"/>
      </w:pPr>
      <w:rPr>
        <w:rFonts w:hint="default"/>
      </w:rPr>
    </w:lvl>
    <w:lvl w:ilvl="6" w:tplc="DA269852">
      <w:start w:val="1"/>
      <w:numFmt w:val="bullet"/>
      <w:lvlText w:val="•"/>
      <w:lvlJc w:val="left"/>
      <w:pPr>
        <w:ind w:left="7163" w:hanging="413"/>
      </w:pPr>
      <w:rPr>
        <w:rFonts w:hint="default"/>
      </w:rPr>
    </w:lvl>
    <w:lvl w:ilvl="7" w:tplc="262476CC">
      <w:start w:val="1"/>
      <w:numFmt w:val="bullet"/>
      <w:lvlText w:val="•"/>
      <w:lvlJc w:val="left"/>
      <w:pPr>
        <w:ind w:left="7918" w:hanging="413"/>
      </w:pPr>
      <w:rPr>
        <w:rFonts w:hint="default"/>
      </w:rPr>
    </w:lvl>
    <w:lvl w:ilvl="8" w:tplc="D136A318">
      <w:start w:val="1"/>
      <w:numFmt w:val="bullet"/>
      <w:lvlText w:val="•"/>
      <w:lvlJc w:val="left"/>
      <w:pPr>
        <w:ind w:left="8673" w:hanging="413"/>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D7"/>
    <w:rsid w:val="0000711E"/>
    <w:rsid w:val="00044A10"/>
    <w:rsid w:val="0005029F"/>
    <w:rsid w:val="000571A2"/>
    <w:rsid w:val="000624FE"/>
    <w:rsid w:val="0006300F"/>
    <w:rsid w:val="00073BFE"/>
    <w:rsid w:val="00086D09"/>
    <w:rsid w:val="000902EC"/>
    <w:rsid w:val="0009167B"/>
    <w:rsid w:val="000A431B"/>
    <w:rsid w:val="000B6E96"/>
    <w:rsid w:val="000E5F71"/>
    <w:rsid w:val="000E6962"/>
    <w:rsid w:val="000E6E8C"/>
    <w:rsid w:val="000F01FB"/>
    <w:rsid w:val="000F1013"/>
    <w:rsid w:val="000F772B"/>
    <w:rsid w:val="000F7C74"/>
    <w:rsid w:val="0010566A"/>
    <w:rsid w:val="00107F5F"/>
    <w:rsid w:val="00112742"/>
    <w:rsid w:val="001209CA"/>
    <w:rsid w:val="00135F6E"/>
    <w:rsid w:val="001477D7"/>
    <w:rsid w:val="001548A6"/>
    <w:rsid w:val="00157641"/>
    <w:rsid w:val="00161FAE"/>
    <w:rsid w:val="0016431E"/>
    <w:rsid w:val="001663F0"/>
    <w:rsid w:val="001725E2"/>
    <w:rsid w:val="00176AC8"/>
    <w:rsid w:val="00176E3A"/>
    <w:rsid w:val="001857E1"/>
    <w:rsid w:val="001961A3"/>
    <w:rsid w:val="001A0E62"/>
    <w:rsid w:val="001A6F20"/>
    <w:rsid w:val="001B6AFB"/>
    <w:rsid w:val="001C0672"/>
    <w:rsid w:val="001C1C3F"/>
    <w:rsid w:val="001D7891"/>
    <w:rsid w:val="001E0CDC"/>
    <w:rsid w:val="001E3FD8"/>
    <w:rsid w:val="00213B62"/>
    <w:rsid w:val="00217415"/>
    <w:rsid w:val="002271A5"/>
    <w:rsid w:val="0023396D"/>
    <w:rsid w:val="002456A6"/>
    <w:rsid w:val="00245DEA"/>
    <w:rsid w:val="0026361C"/>
    <w:rsid w:val="00267AEB"/>
    <w:rsid w:val="0027571C"/>
    <w:rsid w:val="002862EB"/>
    <w:rsid w:val="00292F4D"/>
    <w:rsid w:val="002967A0"/>
    <w:rsid w:val="00297A57"/>
    <w:rsid w:val="002B0A58"/>
    <w:rsid w:val="002C2AD3"/>
    <w:rsid w:val="002E7673"/>
    <w:rsid w:val="0030312A"/>
    <w:rsid w:val="00304542"/>
    <w:rsid w:val="003506E0"/>
    <w:rsid w:val="0035259D"/>
    <w:rsid w:val="00353C81"/>
    <w:rsid w:val="00356D2E"/>
    <w:rsid w:val="003657C5"/>
    <w:rsid w:val="003832EE"/>
    <w:rsid w:val="00391D60"/>
    <w:rsid w:val="00394A55"/>
    <w:rsid w:val="00396B5E"/>
    <w:rsid w:val="003A1732"/>
    <w:rsid w:val="003A6253"/>
    <w:rsid w:val="003A7755"/>
    <w:rsid w:val="003B1923"/>
    <w:rsid w:val="003B52A0"/>
    <w:rsid w:val="003B6560"/>
    <w:rsid w:val="003C00B9"/>
    <w:rsid w:val="003C2E66"/>
    <w:rsid w:val="003C66B3"/>
    <w:rsid w:val="003D081A"/>
    <w:rsid w:val="003D462C"/>
    <w:rsid w:val="003E24C0"/>
    <w:rsid w:val="003E586A"/>
    <w:rsid w:val="003F1570"/>
    <w:rsid w:val="00404042"/>
    <w:rsid w:val="0042395A"/>
    <w:rsid w:val="00427787"/>
    <w:rsid w:val="00431BDE"/>
    <w:rsid w:val="00431C17"/>
    <w:rsid w:val="00442110"/>
    <w:rsid w:val="00464F7A"/>
    <w:rsid w:val="0046715E"/>
    <w:rsid w:val="004922B1"/>
    <w:rsid w:val="00495AE8"/>
    <w:rsid w:val="00496A72"/>
    <w:rsid w:val="004A2B59"/>
    <w:rsid w:val="004C02B8"/>
    <w:rsid w:val="004D119B"/>
    <w:rsid w:val="004E274D"/>
    <w:rsid w:val="004E41FE"/>
    <w:rsid w:val="004F20D0"/>
    <w:rsid w:val="00505E1D"/>
    <w:rsid w:val="00506DC7"/>
    <w:rsid w:val="00511049"/>
    <w:rsid w:val="005219C6"/>
    <w:rsid w:val="00522D47"/>
    <w:rsid w:val="00522D9E"/>
    <w:rsid w:val="0054433A"/>
    <w:rsid w:val="005630E1"/>
    <w:rsid w:val="0056388A"/>
    <w:rsid w:val="00563B82"/>
    <w:rsid w:val="00567211"/>
    <w:rsid w:val="005852A3"/>
    <w:rsid w:val="0059193F"/>
    <w:rsid w:val="005959CE"/>
    <w:rsid w:val="005A0495"/>
    <w:rsid w:val="005A17B2"/>
    <w:rsid w:val="005A4BBE"/>
    <w:rsid w:val="005C32A4"/>
    <w:rsid w:val="005C4F30"/>
    <w:rsid w:val="005D74EF"/>
    <w:rsid w:val="005E190B"/>
    <w:rsid w:val="005F2B4B"/>
    <w:rsid w:val="005F66BE"/>
    <w:rsid w:val="00601720"/>
    <w:rsid w:val="006069E4"/>
    <w:rsid w:val="00612A89"/>
    <w:rsid w:val="0062083A"/>
    <w:rsid w:val="00623431"/>
    <w:rsid w:val="00631597"/>
    <w:rsid w:val="00642894"/>
    <w:rsid w:val="00643470"/>
    <w:rsid w:val="00646A0F"/>
    <w:rsid w:val="006525D3"/>
    <w:rsid w:val="00656BF1"/>
    <w:rsid w:val="00662A38"/>
    <w:rsid w:val="00683BFB"/>
    <w:rsid w:val="00697F49"/>
    <w:rsid w:val="006A61AB"/>
    <w:rsid w:val="006B4CD7"/>
    <w:rsid w:val="006C31AF"/>
    <w:rsid w:val="006C6B6A"/>
    <w:rsid w:val="006D0623"/>
    <w:rsid w:val="006D3E7F"/>
    <w:rsid w:val="006E2291"/>
    <w:rsid w:val="006E3BB6"/>
    <w:rsid w:val="006F5938"/>
    <w:rsid w:val="007442C7"/>
    <w:rsid w:val="00756002"/>
    <w:rsid w:val="007613DA"/>
    <w:rsid w:val="007655F4"/>
    <w:rsid w:val="00776E55"/>
    <w:rsid w:val="007855FA"/>
    <w:rsid w:val="00785639"/>
    <w:rsid w:val="00785B04"/>
    <w:rsid w:val="00791FA4"/>
    <w:rsid w:val="007920C9"/>
    <w:rsid w:val="007B13C3"/>
    <w:rsid w:val="007D4484"/>
    <w:rsid w:val="007E2866"/>
    <w:rsid w:val="007F0E17"/>
    <w:rsid w:val="007F27A5"/>
    <w:rsid w:val="007F7417"/>
    <w:rsid w:val="00803E68"/>
    <w:rsid w:val="00812779"/>
    <w:rsid w:val="00815494"/>
    <w:rsid w:val="008222E6"/>
    <w:rsid w:val="00831D48"/>
    <w:rsid w:val="00840D1C"/>
    <w:rsid w:val="00843F3E"/>
    <w:rsid w:val="008535F8"/>
    <w:rsid w:val="00864541"/>
    <w:rsid w:val="008702F9"/>
    <w:rsid w:val="00876796"/>
    <w:rsid w:val="0088352A"/>
    <w:rsid w:val="008879AA"/>
    <w:rsid w:val="008A4CB3"/>
    <w:rsid w:val="008C06BC"/>
    <w:rsid w:val="008C60B3"/>
    <w:rsid w:val="008D4E42"/>
    <w:rsid w:val="008D774E"/>
    <w:rsid w:val="008F12C2"/>
    <w:rsid w:val="008F1A22"/>
    <w:rsid w:val="008F271D"/>
    <w:rsid w:val="008F3909"/>
    <w:rsid w:val="009078E6"/>
    <w:rsid w:val="009135AD"/>
    <w:rsid w:val="00925AF2"/>
    <w:rsid w:val="00934035"/>
    <w:rsid w:val="009450C5"/>
    <w:rsid w:val="00952562"/>
    <w:rsid w:val="0095386F"/>
    <w:rsid w:val="00955205"/>
    <w:rsid w:val="00957F36"/>
    <w:rsid w:val="00967806"/>
    <w:rsid w:val="00973A32"/>
    <w:rsid w:val="00975090"/>
    <w:rsid w:val="00984ED7"/>
    <w:rsid w:val="009A10DD"/>
    <w:rsid w:val="009A68E9"/>
    <w:rsid w:val="009C2B8F"/>
    <w:rsid w:val="009C5C5C"/>
    <w:rsid w:val="009D06B7"/>
    <w:rsid w:val="009D1F11"/>
    <w:rsid w:val="009D6BDA"/>
    <w:rsid w:val="009E7096"/>
    <w:rsid w:val="00A039E0"/>
    <w:rsid w:val="00A074CA"/>
    <w:rsid w:val="00A13B19"/>
    <w:rsid w:val="00A20537"/>
    <w:rsid w:val="00A22597"/>
    <w:rsid w:val="00A231CF"/>
    <w:rsid w:val="00A25B32"/>
    <w:rsid w:val="00A30E0B"/>
    <w:rsid w:val="00A35CC6"/>
    <w:rsid w:val="00A37F89"/>
    <w:rsid w:val="00A437D0"/>
    <w:rsid w:val="00A50F4B"/>
    <w:rsid w:val="00A51DBD"/>
    <w:rsid w:val="00A56AB5"/>
    <w:rsid w:val="00A83DB4"/>
    <w:rsid w:val="00AA29B3"/>
    <w:rsid w:val="00AC7FD7"/>
    <w:rsid w:val="00AD55C7"/>
    <w:rsid w:val="00B00AA0"/>
    <w:rsid w:val="00B12E25"/>
    <w:rsid w:val="00B13C52"/>
    <w:rsid w:val="00B22BE0"/>
    <w:rsid w:val="00B22C7B"/>
    <w:rsid w:val="00B26342"/>
    <w:rsid w:val="00B34596"/>
    <w:rsid w:val="00B35ED0"/>
    <w:rsid w:val="00B3679B"/>
    <w:rsid w:val="00B36EBD"/>
    <w:rsid w:val="00B44DC7"/>
    <w:rsid w:val="00B53104"/>
    <w:rsid w:val="00B6048E"/>
    <w:rsid w:val="00B63B35"/>
    <w:rsid w:val="00B738E3"/>
    <w:rsid w:val="00B760EE"/>
    <w:rsid w:val="00B7682C"/>
    <w:rsid w:val="00B77693"/>
    <w:rsid w:val="00B800F9"/>
    <w:rsid w:val="00BA4D4A"/>
    <w:rsid w:val="00BB4FB7"/>
    <w:rsid w:val="00BB6C0E"/>
    <w:rsid w:val="00BC7A67"/>
    <w:rsid w:val="00BE5F9A"/>
    <w:rsid w:val="00BF00B5"/>
    <w:rsid w:val="00BF1201"/>
    <w:rsid w:val="00BF42FF"/>
    <w:rsid w:val="00C04280"/>
    <w:rsid w:val="00C04954"/>
    <w:rsid w:val="00C11F42"/>
    <w:rsid w:val="00C16FCB"/>
    <w:rsid w:val="00C21459"/>
    <w:rsid w:val="00C359B9"/>
    <w:rsid w:val="00C434CA"/>
    <w:rsid w:val="00C47DFB"/>
    <w:rsid w:val="00C5426C"/>
    <w:rsid w:val="00C5516B"/>
    <w:rsid w:val="00C62149"/>
    <w:rsid w:val="00C66C90"/>
    <w:rsid w:val="00C67168"/>
    <w:rsid w:val="00C73630"/>
    <w:rsid w:val="00C76F42"/>
    <w:rsid w:val="00C908C4"/>
    <w:rsid w:val="00C95CD4"/>
    <w:rsid w:val="00C975DB"/>
    <w:rsid w:val="00CA68BB"/>
    <w:rsid w:val="00CC6C5D"/>
    <w:rsid w:val="00CC7792"/>
    <w:rsid w:val="00CE4546"/>
    <w:rsid w:val="00CE5C0C"/>
    <w:rsid w:val="00CF5F8A"/>
    <w:rsid w:val="00D01D06"/>
    <w:rsid w:val="00D12CB8"/>
    <w:rsid w:val="00D15788"/>
    <w:rsid w:val="00D30253"/>
    <w:rsid w:val="00D31A6E"/>
    <w:rsid w:val="00D37481"/>
    <w:rsid w:val="00D5429D"/>
    <w:rsid w:val="00D71DC6"/>
    <w:rsid w:val="00D73F98"/>
    <w:rsid w:val="00D96874"/>
    <w:rsid w:val="00DB038E"/>
    <w:rsid w:val="00DB106C"/>
    <w:rsid w:val="00DC079C"/>
    <w:rsid w:val="00DD2CED"/>
    <w:rsid w:val="00DE19D9"/>
    <w:rsid w:val="00DE2C00"/>
    <w:rsid w:val="00DE51C0"/>
    <w:rsid w:val="00DF367F"/>
    <w:rsid w:val="00E01B38"/>
    <w:rsid w:val="00E01BB7"/>
    <w:rsid w:val="00E154CD"/>
    <w:rsid w:val="00E169AD"/>
    <w:rsid w:val="00E20F4A"/>
    <w:rsid w:val="00E2417F"/>
    <w:rsid w:val="00E34D93"/>
    <w:rsid w:val="00E45B78"/>
    <w:rsid w:val="00E53407"/>
    <w:rsid w:val="00E61BAC"/>
    <w:rsid w:val="00E6477B"/>
    <w:rsid w:val="00E71549"/>
    <w:rsid w:val="00E91A90"/>
    <w:rsid w:val="00EA3CBF"/>
    <w:rsid w:val="00EC6AA6"/>
    <w:rsid w:val="00EE0B16"/>
    <w:rsid w:val="00EF3CB7"/>
    <w:rsid w:val="00F001DE"/>
    <w:rsid w:val="00F015F1"/>
    <w:rsid w:val="00F049E9"/>
    <w:rsid w:val="00F2123D"/>
    <w:rsid w:val="00F449B1"/>
    <w:rsid w:val="00F461A2"/>
    <w:rsid w:val="00F46E90"/>
    <w:rsid w:val="00F67AC4"/>
    <w:rsid w:val="00F80A02"/>
    <w:rsid w:val="00F81701"/>
    <w:rsid w:val="00F93780"/>
    <w:rsid w:val="00FA776E"/>
    <w:rsid w:val="00FB46E6"/>
    <w:rsid w:val="00FD1BB8"/>
    <w:rsid w:val="00FD2717"/>
    <w:rsid w:val="00FD4E22"/>
    <w:rsid w:val="00FD6BEF"/>
    <w:rsid w:val="00FE3E8D"/>
    <w:rsid w:val="00FE6D22"/>
    <w:rsid w:val="00FF1EA1"/>
    <w:rsid w:val="00FF4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F0"/>
    <w:pPr>
      <w:spacing w:after="0" w:line="240" w:lineRule="auto"/>
    </w:pPr>
  </w:style>
  <w:style w:type="paragraph" w:styleId="Heading1">
    <w:name w:val="heading 1"/>
    <w:basedOn w:val="Normal"/>
    <w:link w:val="Heading1Char"/>
    <w:uiPriority w:val="1"/>
    <w:qFormat/>
    <w:rsid w:val="00EA3CBF"/>
    <w:pPr>
      <w:keepNext/>
      <w:keepLines/>
      <w:widowControl w:val="0"/>
      <w:spacing w:after="240"/>
      <w:outlineLvl w:val="0"/>
    </w:pPr>
    <w:rPr>
      <w:rFonts w:ascii="Calibri" w:eastAsia="Calibri" w:hAnsi="Calibri"/>
      <w:b/>
      <w:bCs/>
      <w:szCs w:val="26"/>
      <w:lang w:val="en-US"/>
    </w:rPr>
  </w:style>
  <w:style w:type="paragraph" w:styleId="Heading2">
    <w:name w:val="heading 2"/>
    <w:basedOn w:val="Normal"/>
    <w:link w:val="Heading2Char"/>
    <w:uiPriority w:val="1"/>
    <w:qFormat/>
    <w:rsid w:val="00EA3CBF"/>
    <w:pPr>
      <w:keepNext/>
      <w:keepLines/>
      <w:widowControl w:val="0"/>
      <w:spacing w:after="240"/>
      <w:outlineLvl w:val="1"/>
    </w:pPr>
    <w:rPr>
      <w:rFonts w:ascii="Calibri" w:eastAsia="Calibri" w:hAnsi="Calibri"/>
      <w:b/>
      <w:bCs/>
      <w:i/>
      <w:szCs w:val="26"/>
      <w:lang w:val="en-US"/>
    </w:rPr>
  </w:style>
  <w:style w:type="paragraph" w:styleId="Heading3">
    <w:name w:val="heading 3"/>
    <w:basedOn w:val="Normal"/>
    <w:next w:val="Normal"/>
    <w:link w:val="Heading3Char"/>
    <w:uiPriority w:val="9"/>
    <w:semiHidden/>
    <w:unhideWhenUsed/>
    <w:qFormat/>
    <w:rsid w:val="000E69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FD7"/>
    <w:pPr>
      <w:ind w:left="720"/>
      <w:contextualSpacing/>
    </w:pPr>
  </w:style>
  <w:style w:type="paragraph" w:styleId="Header">
    <w:name w:val="header"/>
    <w:basedOn w:val="Normal"/>
    <w:link w:val="HeaderChar"/>
    <w:uiPriority w:val="99"/>
    <w:unhideWhenUsed/>
    <w:rsid w:val="001B6AFB"/>
    <w:pPr>
      <w:tabs>
        <w:tab w:val="center" w:pos="4513"/>
        <w:tab w:val="right" w:pos="9026"/>
      </w:tabs>
    </w:pPr>
  </w:style>
  <w:style w:type="character" w:customStyle="1" w:styleId="HeaderChar">
    <w:name w:val="Header Char"/>
    <w:basedOn w:val="DefaultParagraphFont"/>
    <w:link w:val="Header"/>
    <w:uiPriority w:val="99"/>
    <w:rsid w:val="001B6AFB"/>
  </w:style>
  <w:style w:type="paragraph" w:styleId="Footer">
    <w:name w:val="footer"/>
    <w:basedOn w:val="Normal"/>
    <w:link w:val="FooterChar"/>
    <w:uiPriority w:val="99"/>
    <w:unhideWhenUsed/>
    <w:rsid w:val="001B6AFB"/>
    <w:pPr>
      <w:tabs>
        <w:tab w:val="center" w:pos="4513"/>
        <w:tab w:val="right" w:pos="9026"/>
      </w:tabs>
    </w:pPr>
  </w:style>
  <w:style w:type="character" w:customStyle="1" w:styleId="FooterChar">
    <w:name w:val="Footer Char"/>
    <w:basedOn w:val="DefaultParagraphFont"/>
    <w:link w:val="Footer"/>
    <w:uiPriority w:val="99"/>
    <w:rsid w:val="001B6AFB"/>
  </w:style>
  <w:style w:type="paragraph" w:styleId="BalloonText">
    <w:name w:val="Balloon Text"/>
    <w:basedOn w:val="Normal"/>
    <w:link w:val="BalloonTextChar"/>
    <w:uiPriority w:val="99"/>
    <w:semiHidden/>
    <w:unhideWhenUsed/>
    <w:rsid w:val="001B6AFB"/>
    <w:rPr>
      <w:rFonts w:ascii="Tahoma" w:hAnsi="Tahoma" w:cs="Tahoma"/>
      <w:sz w:val="16"/>
      <w:szCs w:val="16"/>
    </w:rPr>
  </w:style>
  <w:style w:type="character" w:customStyle="1" w:styleId="BalloonTextChar">
    <w:name w:val="Balloon Text Char"/>
    <w:basedOn w:val="DefaultParagraphFont"/>
    <w:link w:val="BalloonText"/>
    <w:uiPriority w:val="99"/>
    <w:semiHidden/>
    <w:rsid w:val="001B6AFB"/>
    <w:rPr>
      <w:rFonts w:ascii="Tahoma" w:hAnsi="Tahoma" w:cs="Tahoma"/>
      <w:sz w:val="16"/>
      <w:szCs w:val="16"/>
    </w:rPr>
  </w:style>
  <w:style w:type="table" w:styleId="TableGrid">
    <w:name w:val="Table Grid"/>
    <w:basedOn w:val="TableNormal"/>
    <w:rsid w:val="00D3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302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D302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263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EA3CBF"/>
    <w:rPr>
      <w:rFonts w:ascii="Calibri" w:eastAsia="Calibri" w:hAnsi="Calibri"/>
      <w:b/>
      <w:bCs/>
      <w:szCs w:val="26"/>
      <w:lang w:val="en-US"/>
    </w:rPr>
  </w:style>
  <w:style w:type="character" w:customStyle="1" w:styleId="Heading2Char">
    <w:name w:val="Heading 2 Char"/>
    <w:basedOn w:val="DefaultParagraphFont"/>
    <w:link w:val="Heading2"/>
    <w:uiPriority w:val="1"/>
    <w:rsid w:val="00EA3CBF"/>
    <w:rPr>
      <w:rFonts w:ascii="Calibri" w:eastAsia="Calibri" w:hAnsi="Calibri"/>
      <w:b/>
      <w:bCs/>
      <w:i/>
      <w:szCs w:val="26"/>
      <w:lang w:val="en-US"/>
    </w:rPr>
  </w:style>
  <w:style w:type="paragraph" w:styleId="BodyText">
    <w:name w:val="Body Text"/>
    <w:basedOn w:val="Normal"/>
    <w:link w:val="BodyTextChar"/>
    <w:uiPriority w:val="1"/>
    <w:qFormat/>
    <w:rsid w:val="001663F0"/>
    <w:pPr>
      <w:widowControl w:val="0"/>
      <w:ind w:left="284" w:hanging="284"/>
    </w:pPr>
    <w:rPr>
      <w:rFonts w:ascii="Calibri" w:eastAsia="Calibri" w:hAnsi="Calibri"/>
      <w:szCs w:val="26"/>
    </w:rPr>
  </w:style>
  <w:style w:type="character" w:customStyle="1" w:styleId="BodyTextChar">
    <w:name w:val="Body Text Char"/>
    <w:basedOn w:val="DefaultParagraphFont"/>
    <w:link w:val="BodyText"/>
    <w:uiPriority w:val="1"/>
    <w:rsid w:val="001663F0"/>
    <w:rPr>
      <w:rFonts w:ascii="Calibri" w:eastAsia="Calibri" w:hAnsi="Calibri"/>
      <w:szCs w:val="26"/>
    </w:rPr>
  </w:style>
  <w:style w:type="paragraph" w:customStyle="1" w:styleId="TableParagraph">
    <w:name w:val="Table Paragraph"/>
    <w:basedOn w:val="Normal"/>
    <w:uiPriority w:val="1"/>
    <w:qFormat/>
    <w:rsid w:val="003D462C"/>
    <w:pPr>
      <w:widowControl w:val="0"/>
    </w:pPr>
    <w:rPr>
      <w:lang w:val="en-US"/>
    </w:rPr>
  </w:style>
  <w:style w:type="paragraph" w:customStyle="1" w:styleId="Numbering">
    <w:name w:val="Numbering"/>
    <w:basedOn w:val="BodyText"/>
    <w:link w:val="NumberingChar"/>
    <w:qFormat/>
    <w:rsid w:val="00EA3CBF"/>
    <w:pPr>
      <w:numPr>
        <w:numId w:val="2"/>
      </w:numPr>
      <w:spacing w:after="240"/>
    </w:pPr>
    <w:rPr>
      <w:rFonts w:asciiTheme="minorHAnsi" w:hAnsiTheme="minorHAnsi"/>
      <w:szCs w:val="22"/>
    </w:rPr>
  </w:style>
  <w:style w:type="paragraph" w:customStyle="1" w:styleId="Romannumbering">
    <w:name w:val="Roman numbering"/>
    <w:basedOn w:val="BodyText"/>
    <w:link w:val="RomannumberingChar"/>
    <w:qFormat/>
    <w:rsid w:val="00D31A6E"/>
    <w:pPr>
      <w:numPr>
        <w:ilvl w:val="1"/>
        <w:numId w:val="2"/>
      </w:numPr>
      <w:spacing w:after="240"/>
      <w:ind w:left="1134" w:hanging="567"/>
    </w:pPr>
    <w:rPr>
      <w:rFonts w:asciiTheme="minorHAnsi" w:hAnsiTheme="minorHAnsi"/>
      <w:szCs w:val="22"/>
    </w:rPr>
  </w:style>
  <w:style w:type="character" w:customStyle="1" w:styleId="NumberingChar">
    <w:name w:val="Numbering Char"/>
    <w:basedOn w:val="BodyTextChar"/>
    <w:link w:val="Numbering"/>
    <w:rsid w:val="00EA3CBF"/>
    <w:rPr>
      <w:rFonts w:ascii="Calibri" w:eastAsia="Calibri" w:hAnsi="Calibri"/>
      <w:szCs w:val="26"/>
    </w:rPr>
  </w:style>
  <w:style w:type="paragraph" w:customStyle="1" w:styleId="Bullets">
    <w:name w:val="Bullets"/>
    <w:basedOn w:val="BodyText"/>
    <w:link w:val="BulletsChar"/>
    <w:qFormat/>
    <w:rsid w:val="0006300F"/>
    <w:pPr>
      <w:numPr>
        <w:numId w:val="1"/>
      </w:numPr>
      <w:spacing w:after="240"/>
    </w:pPr>
    <w:rPr>
      <w:rFonts w:asciiTheme="minorHAnsi" w:hAnsiTheme="minorHAnsi"/>
      <w:szCs w:val="22"/>
    </w:rPr>
  </w:style>
  <w:style w:type="character" w:customStyle="1" w:styleId="RomannumberingChar">
    <w:name w:val="Roman numbering Char"/>
    <w:basedOn w:val="BodyTextChar"/>
    <w:link w:val="Romannumbering"/>
    <w:rsid w:val="00D31A6E"/>
    <w:rPr>
      <w:rFonts w:ascii="Calibri" w:eastAsia="Calibri" w:hAnsi="Calibri"/>
      <w:szCs w:val="26"/>
    </w:rPr>
  </w:style>
  <w:style w:type="character" w:styleId="CommentReference">
    <w:name w:val="annotation reference"/>
    <w:basedOn w:val="DefaultParagraphFont"/>
    <w:uiPriority w:val="99"/>
    <w:semiHidden/>
    <w:unhideWhenUsed/>
    <w:rsid w:val="00A074CA"/>
    <w:rPr>
      <w:sz w:val="16"/>
      <w:szCs w:val="16"/>
    </w:rPr>
  </w:style>
  <w:style w:type="character" w:customStyle="1" w:styleId="BulletsChar">
    <w:name w:val="Bullets Char"/>
    <w:basedOn w:val="BodyTextChar"/>
    <w:link w:val="Bullets"/>
    <w:rsid w:val="0006300F"/>
    <w:rPr>
      <w:rFonts w:ascii="Calibri" w:eastAsia="Calibri" w:hAnsi="Calibri"/>
      <w:szCs w:val="26"/>
    </w:rPr>
  </w:style>
  <w:style w:type="paragraph" w:styleId="CommentText">
    <w:name w:val="annotation text"/>
    <w:basedOn w:val="Normal"/>
    <w:link w:val="CommentTextChar"/>
    <w:uiPriority w:val="99"/>
    <w:semiHidden/>
    <w:unhideWhenUsed/>
    <w:rsid w:val="00A074CA"/>
    <w:rPr>
      <w:sz w:val="20"/>
      <w:szCs w:val="20"/>
    </w:rPr>
  </w:style>
  <w:style w:type="character" w:customStyle="1" w:styleId="CommentTextChar">
    <w:name w:val="Comment Text Char"/>
    <w:basedOn w:val="DefaultParagraphFont"/>
    <w:link w:val="CommentText"/>
    <w:uiPriority w:val="99"/>
    <w:semiHidden/>
    <w:rsid w:val="00A074CA"/>
    <w:rPr>
      <w:sz w:val="20"/>
      <w:szCs w:val="20"/>
    </w:rPr>
  </w:style>
  <w:style w:type="paragraph" w:styleId="CommentSubject">
    <w:name w:val="annotation subject"/>
    <w:basedOn w:val="CommentText"/>
    <w:next w:val="CommentText"/>
    <w:link w:val="CommentSubjectChar"/>
    <w:uiPriority w:val="99"/>
    <w:semiHidden/>
    <w:unhideWhenUsed/>
    <w:rsid w:val="00A074CA"/>
    <w:rPr>
      <w:b/>
      <w:bCs/>
    </w:rPr>
  </w:style>
  <w:style w:type="character" w:customStyle="1" w:styleId="CommentSubjectChar">
    <w:name w:val="Comment Subject Char"/>
    <w:basedOn w:val="CommentTextChar"/>
    <w:link w:val="CommentSubject"/>
    <w:uiPriority w:val="99"/>
    <w:semiHidden/>
    <w:rsid w:val="00A074CA"/>
    <w:rPr>
      <w:b/>
      <w:bCs/>
      <w:sz w:val="20"/>
      <w:szCs w:val="20"/>
    </w:rPr>
  </w:style>
  <w:style w:type="paragraph" w:customStyle="1" w:styleId="Paperparalevel1">
    <w:name w:val="Paper para level 1"/>
    <w:basedOn w:val="ListParagraph"/>
    <w:link w:val="Paperparalevel1Char"/>
    <w:qFormat/>
    <w:rsid w:val="00925AF2"/>
    <w:pPr>
      <w:numPr>
        <w:numId w:val="3"/>
      </w:numPr>
      <w:spacing w:after="240"/>
    </w:pPr>
    <w:rPr>
      <w:b/>
    </w:rPr>
  </w:style>
  <w:style w:type="paragraph" w:customStyle="1" w:styleId="Paperparalevel2">
    <w:name w:val="Paper para level 2"/>
    <w:basedOn w:val="ListParagraph"/>
    <w:link w:val="Paperparalevel2Char"/>
    <w:qFormat/>
    <w:rsid w:val="00803E68"/>
    <w:pPr>
      <w:numPr>
        <w:ilvl w:val="1"/>
        <w:numId w:val="3"/>
      </w:numPr>
      <w:spacing w:after="240"/>
      <w:contextualSpacing w:val="0"/>
    </w:pPr>
  </w:style>
  <w:style w:type="character" w:customStyle="1" w:styleId="ListParagraphChar">
    <w:name w:val="List Paragraph Char"/>
    <w:basedOn w:val="DefaultParagraphFont"/>
    <w:link w:val="ListParagraph"/>
    <w:uiPriority w:val="34"/>
    <w:rsid w:val="00925AF2"/>
  </w:style>
  <w:style w:type="character" w:customStyle="1" w:styleId="Paperparalevel1Char">
    <w:name w:val="Paper para level 1 Char"/>
    <w:basedOn w:val="ListParagraphChar"/>
    <w:link w:val="Paperparalevel1"/>
    <w:rsid w:val="00925AF2"/>
    <w:rPr>
      <w:b/>
    </w:rPr>
  </w:style>
  <w:style w:type="character" w:customStyle="1" w:styleId="Paperparalevel2Char">
    <w:name w:val="Paper para level 2 Char"/>
    <w:basedOn w:val="ListParagraphChar"/>
    <w:link w:val="Paperparalevel2"/>
    <w:rsid w:val="00803E68"/>
  </w:style>
  <w:style w:type="paragraph" w:customStyle="1" w:styleId="Tablebullets">
    <w:name w:val="Table bullets"/>
    <w:basedOn w:val="ListParagraph"/>
    <w:link w:val="TablebulletsChar"/>
    <w:qFormat/>
    <w:rsid w:val="00A30E0B"/>
    <w:pPr>
      <w:numPr>
        <w:numId w:val="4"/>
      </w:numPr>
      <w:spacing w:after="120"/>
      <w:ind w:left="284" w:hanging="284"/>
      <w:contextualSpacing w:val="0"/>
    </w:pPr>
  </w:style>
  <w:style w:type="character" w:customStyle="1" w:styleId="TablebulletsChar">
    <w:name w:val="Table bullets Char"/>
    <w:basedOn w:val="ListParagraphChar"/>
    <w:link w:val="Tablebullets"/>
    <w:rsid w:val="00A30E0B"/>
  </w:style>
  <w:style w:type="paragraph" w:styleId="NormalWeb">
    <w:name w:val="Normal (Web)"/>
    <w:basedOn w:val="Normal"/>
    <w:uiPriority w:val="99"/>
    <w:semiHidden/>
    <w:unhideWhenUsed/>
    <w:rsid w:val="00F001D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32A4"/>
    <w:rPr>
      <w:color w:val="0000FF" w:themeColor="hyperlink"/>
      <w:u w:val="single"/>
    </w:rPr>
  </w:style>
  <w:style w:type="paragraph" w:styleId="Revision">
    <w:name w:val="Revision"/>
    <w:hidden/>
    <w:uiPriority w:val="99"/>
    <w:semiHidden/>
    <w:rsid w:val="00C16FCB"/>
    <w:pPr>
      <w:spacing w:after="0" w:line="240" w:lineRule="auto"/>
    </w:pPr>
  </w:style>
  <w:style w:type="paragraph" w:customStyle="1" w:styleId="Default">
    <w:name w:val="Default"/>
    <w:rsid w:val="006E22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FD4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4E22"/>
    <w:rPr>
      <w:sz w:val="20"/>
      <w:szCs w:val="20"/>
    </w:rPr>
  </w:style>
  <w:style w:type="character" w:customStyle="1" w:styleId="FootnoteTextChar">
    <w:name w:val="Footnote Text Char"/>
    <w:basedOn w:val="DefaultParagraphFont"/>
    <w:link w:val="FootnoteText"/>
    <w:uiPriority w:val="99"/>
    <w:semiHidden/>
    <w:rsid w:val="00FD4E22"/>
    <w:rPr>
      <w:sz w:val="20"/>
      <w:szCs w:val="20"/>
    </w:rPr>
  </w:style>
  <w:style w:type="character" w:styleId="FootnoteReference">
    <w:name w:val="footnote reference"/>
    <w:basedOn w:val="DefaultParagraphFont"/>
    <w:uiPriority w:val="99"/>
    <w:semiHidden/>
    <w:unhideWhenUsed/>
    <w:rsid w:val="00FD4E22"/>
    <w:rPr>
      <w:vertAlign w:val="superscript"/>
    </w:rPr>
  </w:style>
  <w:style w:type="character" w:customStyle="1" w:styleId="Heading3Char">
    <w:name w:val="Heading 3 Char"/>
    <w:basedOn w:val="DefaultParagraphFont"/>
    <w:link w:val="Heading3"/>
    <w:uiPriority w:val="9"/>
    <w:semiHidden/>
    <w:rsid w:val="000E6962"/>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F0"/>
    <w:pPr>
      <w:spacing w:after="0" w:line="240" w:lineRule="auto"/>
    </w:pPr>
  </w:style>
  <w:style w:type="paragraph" w:styleId="Heading1">
    <w:name w:val="heading 1"/>
    <w:basedOn w:val="Normal"/>
    <w:link w:val="Heading1Char"/>
    <w:uiPriority w:val="1"/>
    <w:qFormat/>
    <w:rsid w:val="00EA3CBF"/>
    <w:pPr>
      <w:keepNext/>
      <w:keepLines/>
      <w:widowControl w:val="0"/>
      <w:spacing w:after="240"/>
      <w:outlineLvl w:val="0"/>
    </w:pPr>
    <w:rPr>
      <w:rFonts w:ascii="Calibri" w:eastAsia="Calibri" w:hAnsi="Calibri"/>
      <w:b/>
      <w:bCs/>
      <w:szCs w:val="26"/>
      <w:lang w:val="en-US"/>
    </w:rPr>
  </w:style>
  <w:style w:type="paragraph" w:styleId="Heading2">
    <w:name w:val="heading 2"/>
    <w:basedOn w:val="Normal"/>
    <w:link w:val="Heading2Char"/>
    <w:uiPriority w:val="1"/>
    <w:qFormat/>
    <w:rsid w:val="00EA3CBF"/>
    <w:pPr>
      <w:keepNext/>
      <w:keepLines/>
      <w:widowControl w:val="0"/>
      <w:spacing w:after="240"/>
      <w:outlineLvl w:val="1"/>
    </w:pPr>
    <w:rPr>
      <w:rFonts w:ascii="Calibri" w:eastAsia="Calibri" w:hAnsi="Calibri"/>
      <w:b/>
      <w:bCs/>
      <w:i/>
      <w:szCs w:val="26"/>
      <w:lang w:val="en-US"/>
    </w:rPr>
  </w:style>
  <w:style w:type="paragraph" w:styleId="Heading3">
    <w:name w:val="heading 3"/>
    <w:basedOn w:val="Normal"/>
    <w:next w:val="Normal"/>
    <w:link w:val="Heading3Char"/>
    <w:uiPriority w:val="9"/>
    <w:semiHidden/>
    <w:unhideWhenUsed/>
    <w:qFormat/>
    <w:rsid w:val="000E69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FD7"/>
    <w:pPr>
      <w:ind w:left="720"/>
      <w:contextualSpacing/>
    </w:pPr>
  </w:style>
  <w:style w:type="paragraph" w:styleId="Header">
    <w:name w:val="header"/>
    <w:basedOn w:val="Normal"/>
    <w:link w:val="HeaderChar"/>
    <w:uiPriority w:val="99"/>
    <w:unhideWhenUsed/>
    <w:rsid w:val="001B6AFB"/>
    <w:pPr>
      <w:tabs>
        <w:tab w:val="center" w:pos="4513"/>
        <w:tab w:val="right" w:pos="9026"/>
      </w:tabs>
    </w:pPr>
  </w:style>
  <w:style w:type="character" w:customStyle="1" w:styleId="HeaderChar">
    <w:name w:val="Header Char"/>
    <w:basedOn w:val="DefaultParagraphFont"/>
    <w:link w:val="Header"/>
    <w:uiPriority w:val="99"/>
    <w:rsid w:val="001B6AFB"/>
  </w:style>
  <w:style w:type="paragraph" w:styleId="Footer">
    <w:name w:val="footer"/>
    <w:basedOn w:val="Normal"/>
    <w:link w:val="FooterChar"/>
    <w:uiPriority w:val="99"/>
    <w:unhideWhenUsed/>
    <w:rsid w:val="001B6AFB"/>
    <w:pPr>
      <w:tabs>
        <w:tab w:val="center" w:pos="4513"/>
        <w:tab w:val="right" w:pos="9026"/>
      </w:tabs>
    </w:pPr>
  </w:style>
  <w:style w:type="character" w:customStyle="1" w:styleId="FooterChar">
    <w:name w:val="Footer Char"/>
    <w:basedOn w:val="DefaultParagraphFont"/>
    <w:link w:val="Footer"/>
    <w:uiPriority w:val="99"/>
    <w:rsid w:val="001B6AFB"/>
  </w:style>
  <w:style w:type="paragraph" w:styleId="BalloonText">
    <w:name w:val="Balloon Text"/>
    <w:basedOn w:val="Normal"/>
    <w:link w:val="BalloonTextChar"/>
    <w:uiPriority w:val="99"/>
    <w:semiHidden/>
    <w:unhideWhenUsed/>
    <w:rsid w:val="001B6AFB"/>
    <w:rPr>
      <w:rFonts w:ascii="Tahoma" w:hAnsi="Tahoma" w:cs="Tahoma"/>
      <w:sz w:val="16"/>
      <w:szCs w:val="16"/>
    </w:rPr>
  </w:style>
  <w:style w:type="character" w:customStyle="1" w:styleId="BalloonTextChar">
    <w:name w:val="Balloon Text Char"/>
    <w:basedOn w:val="DefaultParagraphFont"/>
    <w:link w:val="BalloonText"/>
    <w:uiPriority w:val="99"/>
    <w:semiHidden/>
    <w:rsid w:val="001B6AFB"/>
    <w:rPr>
      <w:rFonts w:ascii="Tahoma" w:hAnsi="Tahoma" w:cs="Tahoma"/>
      <w:sz w:val="16"/>
      <w:szCs w:val="16"/>
    </w:rPr>
  </w:style>
  <w:style w:type="table" w:styleId="TableGrid">
    <w:name w:val="Table Grid"/>
    <w:basedOn w:val="TableNormal"/>
    <w:rsid w:val="00D3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302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D302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263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EA3CBF"/>
    <w:rPr>
      <w:rFonts w:ascii="Calibri" w:eastAsia="Calibri" w:hAnsi="Calibri"/>
      <w:b/>
      <w:bCs/>
      <w:szCs w:val="26"/>
      <w:lang w:val="en-US"/>
    </w:rPr>
  </w:style>
  <w:style w:type="character" w:customStyle="1" w:styleId="Heading2Char">
    <w:name w:val="Heading 2 Char"/>
    <w:basedOn w:val="DefaultParagraphFont"/>
    <w:link w:val="Heading2"/>
    <w:uiPriority w:val="1"/>
    <w:rsid w:val="00EA3CBF"/>
    <w:rPr>
      <w:rFonts w:ascii="Calibri" w:eastAsia="Calibri" w:hAnsi="Calibri"/>
      <w:b/>
      <w:bCs/>
      <w:i/>
      <w:szCs w:val="26"/>
      <w:lang w:val="en-US"/>
    </w:rPr>
  </w:style>
  <w:style w:type="paragraph" w:styleId="BodyText">
    <w:name w:val="Body Text"/>
    <w:basedOn w:val="Normal"/>
    <w:link w:val="BodyTextChar"/>
    <w:uiPriority w:val="1"/>
    <w:qFormat/>
    <w:rsid w:val="001663F0"/>
    <w:pPr>
      <w:widowControl w:val="0"/>
      <w:ind w:left="284" w:hanging="284"/>
    </w:pPr>
    <w:rPr>
      <w:rFonts w:ascii="Calibri" w:eastAsia="Calibri" w:hAnsi="Calibri"/>
      <w:szCs w:val="26"/>
    </w:rPr>
  </w:style>
  <w:style w:type="character" w:customStyle="1" w:styleId="BodyTextChar">
    <w:name w:val="Body Text Char"/>
    <w:basedOn w:val="DefaultParagraphFont"/>
    <w:link w:val="BodyText"/>
    <w:uiPriority w:val="1"/>
    <w:rsid w:val="001663F0"/>
    <w:rPr>
      <w:rFonts w:ascii="Calibri" w:eastAsia="Calibri" w:hAnsi="Calibri"/>
      <w:szCs w:val="26"/>
    </w:rPr>
  </w:style>
  <w:style w:type="paragraph" w:customStyle="1" w:styleId="TableParagraph">
    <w:name w:val="Table Paragraph"/>
    <w:basedOn w:val="Normal"/>
    <w:uiPriority w:val="1"/>
    <w:qFormat/>
    <w:rsid w:val="003D462C"/>
    <w:pPr>
      <w:widowControl w:val="0"/>
    </w:pPr>
    <w:rPr>
      <w:lang w:val="en-US"/>
    </w:rPr>
  </w:style>
  <w:style w:type="paragraph" w:customStyle="1" w:styleId="Numbering">
    <w:name w:val="Numbering"/>
    <w:basedOn w:val="BodyText"/>
    <w:link w:val="NumberingChar"/>
    <w:qFormat/>
    <w:rsid w:val="00EA3CBF"/>
    <w:pPr>
      <w:numPr>
        <w:numId w:val="2"/>
      </w:numPr>
      <w:spacing w:after="240"/>
    </w:pPr>
    <w:rPr>
      <w:rFonts w:asciiTheme="minorHAnsi" w:hAnsiTheme="minorHAnsi"/>
      <w:szCs w:val="22"/>
    </w:rPr>
  </w:style>
  <w:style w:type="paragraph" w:customStyle="1" w:styleId="Romannumbering">
    <w:name w:val="Roman numbering"/>
    <w:basedOn w:val="BodyText"/>
    <w:link w:val="RomannumberingChar"/>
    <w:qFormat/>
    <w:rsid w:val="00D31A6E"/>
    <w:pPr>
      <w:numPr>
        <w:ilvl w:val="1"/>
        <w:numId w:val="2"/>
      </w:numPr>
      <w:spacing w:after="240"/>
      <w:ind w:left="1134" w:hanging="567"/>
    </w:pPr>
    <w:rPr>
      <w:rFonts w:asciiTheme="minorHAnsi" w:hAnsiTheme="minorHAnsi"/>
      <w:szCs w:val="22"/>
    </w:rPr>
  </w:style>
  <w:style w:type="character" w:customStyle="1" w:styleId="NumberingChar">
    <w:name w:val="Numbering Char"/>
    <w:basedOn w:val="BodyTextChar"/>
    <w:link w:val="Numbering"/>
    <w:rsid w:val="00EA3CBF"/>
    <w:rPr>
      <w:rFonts w:ascii="Calibri" w:eastAsia="Calibri" w:hAnsi="Calibri"/>
      <w:szCs w:val="26"/>
    </w:rPr>
  </w:style>
  <w:style w:type="paragraph" w:customStyle="1" w:styleId="Bullets">
    <w:name w:val="Bullets"/>
    <w:basedOn w:val="BodyText"/>
    <w:link w:val="BulletsChar"/>
    <w:qFormat/>
    <w:rsid w:val="0006300F"/>
    <w:pPr>
      <w:numPr>
        <w:numId w:val="1"/>
      </w:numPr>
      <w:spacing w:after="240"/>
    </w:pPr>
    <w:rPr>
      <w:rFonts w:asciiTheme="minorHAnsi" w:hAnsiTheme="minorHAnsi"/>
      <w:szCs w:val="22"/>
    </w:rPr>
  </w:style>
  <w:style w:type="character" w:customStyle="1" w:styleId="RomannumberingChar">
    <w:name w:val="Roman numbering Char"/>
    <w:basedOn w:val="BodyTextChar"/>
    <w:link w:val="Romannumbering"/>
    <w:rsid w:val="00D31A6E"/>
    <w:rPr>
      <w:rFonts w:ascii="Calibri" w:eastAsia="Calibri" w:hAnsi="Calibri"/>
      <w:szCs w:val="26"/>
    </w:rPr>
  </w:style>
  <w:style w:type="character" w:styleId="CommentReference">
    <w:name w:val="annotation reference"/>
    <w:basedOn w:val="DefaultParagraphFont"/>
    <w:uiPriority w:val="99"/>
    <w:semiHidden/>
    <w:unhideWhenUsed/>
    <w:rsid w:val="00A074CA"/>
    <w:rPr>
      <w:sz w:val="16"/>
      <w:szCs w:val="16"/>
    </w:rPr>
  </w:style>
  <w:style w:type="character" w:customStyle="1" w:styleId="BulletsChar">
    <w:name w:val="Bullets Char"/>
    <w:basedOn w:val="BodyTextChar"/>
    <w:link w:val="Bullets"/>
    <w:rsid w:val="0006300F"/>
    <w:rPr>
      <w:rFonts w:ascii="Calibri" w:eastAsia="Calibri" w:hAnsi="Calibri"/>
      <w:szCs w:val="26"/>
    </w:rPr>
  </w:style>
  <w:style w:type="paragraph" w:styleId="CommentText">
    <w:name w:val="annotation text"/>
    <w:basedOn w:val="Normal"/>
    <w:link w:val="CommentTextChar"/>
    <w:uiPriority w:val="99"/>
    <w:semiHidden/>
    <w:unhideWhenUsed/>
    <w:rsid w:val="00A074CA"/>
    <w:rPr>
      <w:sz w:val="20"/>
      <w:szCs w:val="20"/>
    </w:rPr>
  </w:style>
  <w:style w:type="character" w:customStyle="1" w:styleId="CommentTextChar">
    <w:name w:val="Comment Text Char"/>
    <w:basedOn w:val="DefaultParagraphFont"/>
    <w:link w:val="CommentText"/>
    <w:uiPriority w:val="99"/>
    <w:semiHidden/>
    <w:rsid w:val="00A074CA"/>
    <w:rPr>
      <w:sz w:val="20"/>
      <w:szCs w:val="20"/>
    </w:rPr>
  </w:style>
  <w:style w:type="paragraph" w:styleId="CommentSubject">
    <w:name w:val="annotation subject"/>
    <w:basedOn w:val="CommentText"/>
    <w:next w:val="CommentText"/>
    <w:link w:val="CommentSubjectChar"/>
    <w:uiPriority w:val="99"/>
    <w:semiHidden/>
    <w:unhideWhenUsed/>
    <w:rsid w:val="00A074CA"/>
    <w:rPr>
      <w:b/>
      <w:bCs/>
    </w:rPr>
  </w:style>
  <w:style w:type="character" w:customStyle="1" w:styleId="CommentSubjectChar">
    <w:name w:val="Comment Subject Char"/>
    <w:basedOn w:val="CommentTextChar"/>
    <w:link w:val="CommentSubject"/>
    <w:uiPriority w:val="99"/>
    <w:semiHidden/>
    <w:rsid w:val="00A074CA"/>
    <w:rPr>
      <w:b/>
      <w:bCs/>
      <w:sz w:val="20"/>
      <w:szCs w:val="20"/>
    </w:rPr>
  </w:style>
  <w:style w:type="paragraph" w:customStyle="1" w:styleId="Paperparalevel1">
    <w:name w:val="Paper para level 1"/>
    <w:basedOn w:val="ListParagraph"/>
    <w:link w:val="Paperparalevel1Char"/>
    <w:qFormat/>
    <w:rsid w:val="00925AF2"/>
    <w:pPr>
      <w:numPr>
        <w:numId w:val="3"/>
      </w:numPr>
      <w:spacing w:after="240"/>
    </w:pPr>
    <w:rPr>
      <w:b/>
    </w:rPr>
  </w:style>
  <w:style w:type="paragraph" w:customStyle="1" w:styleId="Paperparalevel2">
    <w:name w:val="Paper para level 2"/>
    <w:basedOn w:val="ListParagraph"/>
    <w:link w:val="Paperparalevel2Char"/>
    <w:qFormat/>
    <w:rsid w:val="00803E68"/>
    <w:pPr>
      <w:numPr>
        <w:ilvl w:val="1"/>
        <w:numId w:val="3"/>
      </w:numPr>
      <w:spacing w:after="240"/>
      <w:contextualSpacing w:val="0"/>
    </w:pPr>
  </w:style>
  <w:style w:type="character" w:customStyle="1" w:styleId="ListParagraphChar">
    <w:name w:val="List Paragraph Char"/>
    <w:basedOn w:val="DefaultParagraphFont"/>
    <w:link w:val="ListParagraph"/>
    <w:uiPriority w:val="34"/>
    <w:rsid w:val="00925AF2"/>
  </w:style>
  <w:style w:type="character" w:customStyle="1" w:styleId="Paperparalevel1Char">
    <w:name w:val="Paper para level 1 Char"/>
    <w:basedOn w:val="ListParagraphChar"/>
    <w:link w:val="Paperparalevel1"/>
    <w:rsid w:val="00925AF2"/>
    <w:rPr>
      <w:b/>
    </w:rPr>
  </w:style>
  <w:style w:type="character" w:customStyle="1" w:styleId="Paperparalevel2Char">
    <w:name w:val="Paper para level 2 Char"/>
    <w:basedOn w:val="ListParagraphChar"/>
    <w:link w:val="Paperparalevel2"/>
    <w:rsid w:val="00803E68"/>
  </w:style>
  <w:style w:type="paragraph" w:customStyle="1" w:styleId="Tablebullets">
    <w:name w:val="Table bullets"/>
    <w:basedOn w:val="ListParagraph"/>
    <w:link w:val="TablebulletsChar"/>
    <w:qFormat/>
    <w:rsid w:val="00A30E0B"/>
    <w:pPr>
      <w:numPr>
        <w:numId w:val="4"/>
      </w:numPr>
      <w:spacing w:after="120"/>
      <w:ind w:left="284" w:hanging="284"/>
      <w:contextualSpacing w:val="0"/>
    </w:pPr>
  </w:style>
  <w:style w:type="character" w:customStyle="1" w:styleId="TablebulletsChar">
    <w:name w:val="Table bullets Char"/>
    <w:basedOn w:val="ListParagraphChar"/>
    <w:link w:val="Tablebullets"/>
    <w:rsid w:val="00A30E0B"/>
  </w:style>
  <w:style w:type="paragraph" w:styleId="NormalWeb">
    <w:name w:val="Normal (Web)"/>
    <w:basedOn w:val="Normal"/>
    <w:uiPriority w:val="99"/>
    <w:semiHidden/>
    <w:unhideWhenUsed/>
    <w:rsid w:val="00F001D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32A4"/>
    <w:rPr>
      <w:color w:val="0000FF" w:themeColor="hyperlink"/>
      <w:u w:val="single"/>
    </w:rPr>
  </w:style>
  <w:style w:type="paragraph" w:styleId="Revision">
    <w:name w:val="Revision"/>
    <w:hidden/>
    <w:uiPriority w:val="99"/>
    <w:semiHidden/>
    <w:rsid w:val="00C16FCB"/>
    <w:pPr>
      <w:spacing w:after="0" w:line="240" w:lineRule="auto"/>
    </w:pPr>
  </w:style>
  <w:style w:type="paragraph" w:customStyle="1" w:styleId="Default">
    <w:name w:val="Default"/>
    <w:rsid w:val="006E22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FD4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4E22"/>
    <w:rPr>
      <w:sz w:val="20"/>
      <w:szCs w:val="20"/>
    </w:rPr>
  </w:style>
  <w:style w:type="character" w:customStyle="1" w:styleId="FootnoteTextChar">
    <w:name w:val="Footnote Text Char"/>
    <w:basedOn w:val="DefaultParagraphFont"/>
    <w:link w:val="FootnoteText"/>
    <w:uiPriority w:val="99"/>
    <w:semiHidden/>
    <w:rsid w:val="00FD4E22"/>
    <w:rPr>
      <w:sz w:val="20"/>
      <w:szCs w:val="20"/>
    </w:rPr>
  </w:style>
  <w:style w:type="character" w:styleId="FootnoteReference">
    <w:name w:val="footnote reference"/>
    <w:basedOn w:val="DefaultParagraphFont"/>
    <w:uiPriority w:val="99"/>
    <w:semiHidden/>
    <w:unhideWhenUsed/>
    <w:rsid w:val="00FD4E22"/>
    <w:rPr>
      <w:vertAlign w:val="superscript"/>
    </w:rPr>
  </w:style>
  <w:style w:type="character" w:customStyle="1" w:styleId="Heading3Char">
    <w:name w:val="Heading 3 Char"/>
    <w:basedOn w:val="DefaultParagraphFont"/>
    <w:link w:val="Heading3"/>
    <w:uiPriority w:val="9"/>
    <w:semiHidden/>
    <w:rsid w:val="000E696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68516">
      <w:bodyDiv w:val="1"/>
      <w:marLeft w:val="0"/>
      <w:marRight w:val="0"/>
      <w:marTop w:val="0"/>
      <w:marBottom w:val="0"/>
      <w:divBdr>
        <w:top w:val="none" w:sz="0" w:space="0" w:color="auto"/>
        <w:left w:val="none" w:sz="0" w:space="0" w:color="auto"/>
        <w:bottom w:val="none" w:sz="0" w:space="0" w:color="auto"/>
        <w:right w:val="none" w:sz="0" w:space="0" w:color="auto"/>
      </w:divBdr>
    </w:div>
    <w:div w:id="658312944">
      <w:bodyDiv w:val="1"/>
      <w:marLeft w:val="0"/>
      <w:marRight w:val="0"/>
      <w:marTop w:val="0"/>
      <w:marBottom w:val="0"/>
      <w:divBdr>
        <w:top w:val="none" w:sz="0" w:space="0" w:color="auto"/>
        <w:left w:val="none" w:sz="0" w:space="0" w:color="auto"/>
        <w:bottom w:val="none" w:sz="0" w:space="0" w:color="auto"/>
        <w:right w:val="none" w:sz="0" w:space="0" w:color="auto"/>
      </w:divBdr>
    </w:div>
    <w:div w:id="7880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fc.ac.uk/web/FILES/callsforinformation_sfcci042019/SFCCI042019_Call_for_information_2019_FFR.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BEB1-1B72-4311-9A15-EF3D7667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jgodfrey</dc:creator>
  <cp:lastModifiedBy>%username%</cp:lastModifiedBy>
  <cp:revision>14</cp:revision>
  <cp:lastPrinted>2017-10-02T13:15:00Z</cp:lastPrinted>
  <dcterms:created xsi:type="dcterms:W3CDTF">2019-11-15T10:10:00Z</dcterms:created>
  <dcterms:modified xsi:type="dcterms:W3CDTF">2019-12-12T13:32:00Z</dcterms:modified>
</cp:coreProperties>
</file>