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9158C" w14:textId="77777777"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65CD066B" wp14:editId="057C2266">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14:paraId="2B8C630B" w14:textId="77777777" w:rsidR="00197F1D" w:rsidRDefault="00197F1D" w:rsidP="00197F1D">
      <w:pPr>
        <w:rPr>
          <w:b/>
          <w:sz w:val="24"/>
          <w:szCs w:val="24"/>
        </w:rPr>
      </w:pPr>
    </w:p>
    <w:p w14:paraId="43C065E7" w14:textId="77777777" w:rsidR="00197F1D" w:rsidRDefault="00197F1D" w:rsidP="00197F1D">
      <w:pPr>
        <w:rPr>
          <w:b/>
          <w:sz w:val="24"/>
          <w:szCs w:val="24"/>
        </w:rPr>
      </w:pPr>
    </w:p>
    <w:p w14:paraId="47121EA4" w14:textId="77777777"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14:paraId="16C9EFF5" w14:textId="77777777" w:rsidTr="655CAA2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1D2E5D9C" w14:textId="77777777" w:rsidR="00197F1D" w:rsidRPr="00C95CD4" w:rsidRDefault="655CAA28" w:rsidP="655CAA28">
            <w:pPr>
              <w:spacing w:line="360" w:lineRule="auto"/>
              <w:rPr>
                <w:b/>
                <w:bCs/>
                <w:sz w:val="28"/>
                <w:szCs w:val="28"/>
              </w:rPr>
            </w:pPr>
            <w:r w:rsidRPr="655CAA28">
              <w:rPr>
                <w:sz w:val="28"/>
                <w:szCs w:val="28"/>
              </w:rPr>
              <w:t>Nominations &amp; Remuneration Committee</w:t>
            </w:r>
          </w:p>
        </w:tc>
      </w:tr>
      <w:tr w:rsidR="00197F1D" w14:paraId="4708E03D"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5C074C04" w14:textId="77777777" w:rsidR="00197F1D" w:rsidRPr="00C95CD4" w:rsidRDefault="655CAA28" w:rsidP="00E74088">
            <w:pPr>
              <w:spacing w:line="360" w:lineRule="auto"/>
            </w:pPr>
            <w:r>
              <w:t xml:space="preserve">Date of Meeting </w:t>
            </w:r>
          </w:p>
        </w:tc>
        <w:tc>
          <w:tcPr>
            <w:tcW w:w="6866" w:type="dxa"/>
            <w:tcBorders>
              <w:top w:val="single" w:sz="4" w:space="0" w:color="548DD4" w:themeColor="text2" w:themeTint="99"/>
              <w:right w:val="nil"/>
            </w:tcBorders>
          </w:tcPr>
          <w:p w14:paraId="1EFC1045" w14:textId="00EEAB37" w:rsidR="00197F1D" w:rsidRPr="00C95CD4" w:rsidRDefault="0044486C" w:rsidP="00883CF3">
            <w:pPr>
              <w:spacing w:line="360" w:lineRule="auto"/>
              <w:cnfStyle w:val="000000100000" w:firstRow="0" w:lastRow="0" w:firstColumn="0" w:lastColumn="0" w:oddVBand="0" w:evenVBand="0" w:oddHBand="1" w:evenHBand="0" w:firstRowFirstColumn="0" w:firstRowLastColumn="0" w:lastRowFirstColumn="0" w:lastRowLastColumn="0"/>
            </w:pPr>
            <w:r>
              <w:t xml:space="preserve">Wednesday </w:t>
            </w:r>
            <w:r w:rsidR="00380B2A">
              <w:t>18 December 2019</w:t>
            </w:r>
          </w:p>
        </w:tc>
      </w:tr>
      <w:tr w:rsidR="00197F1D" w14:paraId="434EE7BA"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3A8F4E57" w14:textId="77777777" w:rsidR="00197F1D" w:rsidRPr="00C95CD4" w:rsidRDefault="655CAA28" w:rsidP="00E74088">
            <w:pPr>
              <w:spacing w:line="360" w:lineRule="auto"/>
            </w:pPr>
            <w:r>
              <w:t>Paper Title</w:t>
            </w:r>
          </w:p>
        </w:tc>
        <w:tc>
          <w:tcPr>
            <w:tcW w:w="6866" w:type="dxa"/>
            <w:tcBorders>
              <w:top w:val="nil"/>
              <w:bottom w:val="nil"/>
              <w:right w:val="nil"/>
            </w:tcBorders>
          </w:tcPr>
          <w:p w14:paraId="26BD32B4" w14:textId="77777777" w:rsidR="00197F1D" w:rsidRPr="00C95CD4" w:rsidRDefault="00CF619D" w:rsidP="00EC641F">
            <w:pPr>
              <w:spacing w:line="360" w:lineRule="auto"/>
              <w:cnfStyle w:val="000000000000" w:firstRow="0" w:lastRow="0" w:firstColumn="0" w:lastColumn="0" w:oddVBand="0" w:evenVBand="0" w:oddHBand="0" w:evenHBand="0" w:firstRowFirstColumn="0" w:firstRowLastColumn="0" w:lastRowFirstColumn="0" w:lastRowLastColumn="0"/>
            </w:pPr>
            <w:r>
              <w:t>Performance &amp; Resources</w:t>
            </w:r>
            <w:r w:rsidR="009B0FE2">
              <w:t xml:space="preserve"> Committee Annual Report</w:t>
            </w:r>
          </w:p>
        </w:tc>
      </w:tr>
      <w:tr w:rsidR="00197F1D" w14:paraId="25A15B8F"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51C9739" w14:textId="77777777" w:rsidR="00197F1D" w:rsidRPr="00C95CD4" w:rsidRDefault="655CAA28" w:rsidP="00E74088">
            <w:pPr>
              <w:spacing w:line="360" w:lineRule="auto"/>
            </w:pPr>
            <w:r>
              <w:t>Agenda Item</w:t>
            </w:r>
          </w:p>
        </w:tc>
        <w:tc>
          <w:tcPr>
            <w:tcW w:w="6866" w:type="dxa"/>
            <w:tcBorders>
              <w:right w:val="nil"/>
            </w:tcBorders>
          </w:tcPr>
          <w:p w14:paraId="74E23893" w14:textId="06FBF4FE" w:rsidR="00197F1D" w:rsidRPr="00C95CD4" w:rsidRDefault="00EB1471" w:rsidP="00E74088">
            <w:pPr>
              <w:spacing w:line="360" w:lineRule="auto"/>
              <w:cnfStyle w:val="000000100000" w:firstRow="0" w:lastRow="0" w:firstColumn="0" w:lastColumn="0" w:oddVBand="0" w:evenVBand="0" w:oddHBand="1" w:evenHBand="0" w:firstRowFirstColumn="0" w:firstRowLastColumn="0" w:lastRowFirstColumn="0" w:lastRowLastColumn="0"/>
            </w:pPr>
            <w:r>
              <w:t>14</w:t>
            </w:r>
            <w:bookmarkStart w:id="0" w:name="_GoBack"/>
            <w:bookmarkEnd w:id="0"/>
          </w:p>
        </w:tc>
      </w:tr>
      <w:tr w:rsidR="00197F1D" w14:paraId="71F3B091"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3A42560A" w14:textId="77777777" w:rsidR="00197F1D" w:rsidRPr="00C95CD4" w:rsidRDefault="655CAA28" w:rsidP="00E74088">
            <w:pPr>
              <w:spacing w:line="360" w:lineRule="auto"/>
            </w:pPr>
            <w:r>
              <w:t>Paper Number</w:t>
            </w:r>
          </w:p>
        </w:tc>
        <w:tc>
          <w:tcPr>
            <w:tcW w:w="6866" w:type="dxa"/>
            <w:tcBorders>
              <w:right w:val="nil"/>
            </w:tcBorders>
          </w:tcPr>
          <w:p w14:paraId="1DEB965A" w14:textId="0678F524" w:rsidR="00197F1D" w:rsidRPr="00C95CD4" w:rsidRDefault="00CF619D" w:rsidP="00883CF3">
            <w:pPr>
              <w:spacing w:line="360" w:lineRule="auto"/>
              <w:cnfStyle w:val="000000000000" w:firstRow="0" w:lastRow="0" w:firstColumn="0" w:lastColumn="0" w:oddVBand="0" w:evenVBand="0" w:oddHBand="0" w:evenHBand="0" w:firstRowFirstColumn="0" w:firstRowLastColumn="0" w:lastRowFirstColumn="0" w:lastRowLastColumn="0"/>
            </w:pPr>
            <w:r>
              <w:t>PRC2</w:t>
            </w:r>
            <w:r w:rsidR="00224D20">
              <w:t>-J</w:t>
            </w:r>
          </w:p>
        </w:tc>
      </w:tr>
      <w:tr w:rsidR="00197F1D" w14:paraId="77D5C8B0"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CC99B85" w14:textId="77777777" w:rsidR="00197F1D" w:rsidRPr="00C95CD4" w:rsidRDefault="655CAA28" w:rsidP="00E74088">
            <w:pPr>
              <w:spacing w:line="360" w:lineRule="auto"/>
            </w:pPr>
            <w:r>
              <w:t xml:space="preserve">Responsible Officer </w:t>
            </w:r>
          </w:p>
        </w:tc>
        <w:tc>
          <w:tcPr>
            <w:tcW w:w="6866" w:type="dxa"/>
            <w:tcBorders>
              <w:right w:val="nil"/>
            </w:tcBorders>
          </w:tcPr>
          <w:p w14:paraId="4D600612" w14:textId="617EC4CB" w:rsidR="00197F1D" w:rsidRPr="00C95CD4" w:rsidRDefault="00380B2A" w:rsidP="00E74088">
            <w:pPr>
              <w:spacing w:line="360" w:lineRule="auto"/>
              <w:cnfStyle w:val="000000100000" w:firstRow="0" w:lastRow="0" w:firstColumn="0" w:lastColumn="0" w:oddVBand="0" w:evenVBand="0" w:oddHBand="1" w:evenHBand="0" w:firstRowFirstColumn="0" w:firstRowLastColumn="0" w:lastRowFirstColumn="0" w:lastRowLastColumn="0"/>
            </w:pPr>
            <w:r>
              <w:t>Jim Godfrey</w:t>
            </w:r>
            <w:r w:rsidR="00CF619D">
              <w:t xml:space="preserve">, </w:t>
            </w:r>
            <w:r w:rsidR="001C2BA3">
              <w:t xml:space="preserve">Interim </w:t>
            </w:r>
            <w:r w:rsidR="00CF619D">
              <w:t>Executive Director</w:t>
            </w:r>
          </w:p>
        </w:tc>
      </w:tr>
      <w:tr w:rsidR="00197F1D" w14:paraId="46DB5E18"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5F80F435" w14:textId="77777777" w:rsidR="00197F1D" w:rsidRPr="00C95CD4" w:rsidRDefault="655CAA28" w:rsidP="00E74088">
            <w:pPr>
              <w:spacing w:line="360" w:lineRule="auto"/>
            </w:pPr>
            <w:r>
              <w:t>Status</w:t>
            </w:r>
          </w:p>
        </w:tc>
        <w:tc>
          <w:tcPr>
            <w:tcW w:w="6866" w:type="dxa"/>
            <w:tcBorders>
              <w:right w:val="nil"/>
            </w:tcBorders>
          </w:tcPr>
          <w:p w14:paraId="71258139" w14:textId="77777777" w:rsidR="00197F1D" w:rsidRPr="00C95CD4" w:rsidRDefault="655CAA28"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r>
              <w:t xml:space="preserve"> </w:t>
            </w:r>
          </w:p>
        </w:tc>
      </w:tr>
      <w:tr w:rsidR="00197F1D" w14:paraId="02A24098"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68B59842" w14:textId="77777777" w:rsidR="00197F1D" w:rsidRPr="00C95CD4" w:rsidRDefault="655CAA28" w:rsidP="00E74088">
            <w:pPr>
              <w:spacing w:line="360" w:lineRule="auto"/>
            </w:pPr>
            <w:r>
              <w:t>Action</w:t>
            </w:r>
          </w:p>
        </w:tc>
        <w:tc>
          <w:tcPr>
            <w:tcW w:w="6866" w:type="dxa"/>
            <w:tcBorders>
              <w:bottom w:val="single" w:sz="8" w:space="0" w:color="4F81BD" w:themeColor="accent1"/>
              <w:right w:val="nil"/>
            </w:tcBorders>
          </w:tcPr>
          <w:p w14:paraId="199EF824" w14:textId="77777777" w:rsidR="00197F1D" w:rsidRPr="00C95CD4" w:rsidRDefault="655CAA28" w:rsidP="009B0FE2">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9B0FE2">
              <w:t>Decision</w:t>
            </w:r>
          </w:p>
        </w:tc>
      </w:tr>
    </w:tbl>
    <w:p w14:paraId="2594AD95" w14:textId="77777777" w:rsidR="00F412D3" w:rsidRDefault="00F412D3"/>
    <w:p w14:paraId="53D406F8" w14:textId="77777777" w:rsidR="009B0FE2" w:rsidRDefault="009B0FE2"/>
    <w:p w14:paraId="081C40C6" w14:textId="77777777" w:rsidR="00252D89" w:rsidRPr="00925AF2" w:rsidRDefault="655CAA28" w:rsidP="009B0FE2">
      <w:pPr>
        <w:pStyle w:val="Paperparalevel1"/>
        <w:ind w:left="426"/>
      </w:pPr>
      <w:r>
        <w:t>Report Purpose</w:t>
      </w:r>
    </w:p>
    <w:p w14:paraId="3EED95E4" w14:textId="77777777" w:rsidR="00252D89" w:rsidRPr="000624FE" w:rsidRDefault="655CAA28" w:rsidP="00413D73">
      <w:pPr>
        <w:pStyle w:val="Paperparalevel2"/>
        <w:numPr>
          <w:ilvl w:val="1"/>
          <w:numId w:val="18"/>
        </w:numPr>
        <w:ind w:left="1134" w:hanging="567"/>
      </w:pPr>
      <w:r>
        <w:t>Provide the Committee with a summary of business conducted dur</w:t>
      </w:r>
      <w:r w:rsidR="00204C0A">
        <w:t xml:space="preserve">ing the past year to facilitate Committee self-evaluation, </w:t>
      </w:r>
      <w:r>
        <w:t>reporting to Board and forward planning.</w:t>
      </w:r>
    </w:p>
    <w:p w14:paraId="3B9C1AE1" w14:textId="77777777" w:rsidR="009B0FE2" w:rsidRDefault="655CAA28" w:rsidP="009B0FE2">
      <w:pPr>
        <w:pStyle w:val="Paperparalevel1"/>
        <w:ind w:left="426"/>
      </w:pPr>
      <w:r w:rsidRPr="009B0FE2">
        <w:t>Recommendations</w:t>
      </w:r>
      <w:r w:rsidR="009B0FE2" w:rsidRPr="009B0FE2">
        <w:t xml:space="preserve"> </w:t>
      </w:r>
    </w:p>
    <w:p w14:paraId="5536CEE1" w14:textId="77777777" w:rsidR="00252D89" w:rsidRPr="00413D73" w:rsidRDefault="009B0FE2" w:rsidP="00413D73">
      <w:pPr>
        <w:pStyle w:val="Paperparalevel2"/>
        <w:numPr>
          <w:ilvl w:val="1"/>
          <w:numId w:val="18"/>
        </w:numPr>
        <w:ind w:left="1134" w:hanging="567"/>
      </w:pPr>
      <w:r w:rsidRPr="009B0FE2">
        <w:t>The Committee is invited to</w:t>
      </w:r>
      <w:r>
        <w:t>:</w:t>
      </w:r>
    </w:p>
    <w:p w14:paraId="32AB72D1" w14:textId="77777777" w:rsidR="009B0FE2" w:rsidRDefault="00204C0A" w:rsidP="009B0FE2">
      <w:pPr>
        <w:pStyle w:val="Paperparalevel2"/>
        <w:numPr>
          <w:ilvl w:val="0"/>
          <w:numId w:val="20"/>
        </w:numPr>
        <w:ind w:left="1418" w:hanging="567"/>
      </w:pPr>
      <w:r>
        <w:rPr>
          <w:b/>
          <w:bCs/>
        </w:rPr>
        <w:t>consider</w:t>
      </w:r>
      <w:r w:rsidR="655CAA28">
        <w:t xml:space="preserve"> and </w:t>
      </w:r>
      <w:r w:rsidR="655CAA28" w:rsidRPr="655CAA28">
        <w:rPr>
          <w:b/>
          <w:bCs/>
        </w:rPr>
        <w:t>agree</w:t>
      </w:r>
      <w:r w:rsidR="655CAA28">
        <w:t xml:space="preserve"> the content of the summary report on its activity during the past year;</w:t>
      </w:r>
    </w:p>
    <w:p w14:paraId="76609709" w14:textId="77777777" w:rsidR="00CD1898" w:rsidRDefault="655CAA28" w:rsidP="009B0FE2">
      <w:pPr>
        <w:pStyle w:val="Paperparalevel2"/>
        <w:numPr>
          <w:ilvl w:val="0"/>
          <w:numId w:val="20"/>
        </w:numPr>
        <w:ind w:left="1418" w:hanging="567"/>
      </w:pPr>
      <w:r w:rsidRPr="009B0FE2">
        <w:rPr>
          <w:b/>
          <w:bCs/>
        </w:rPr>
        <w:t xml:space="preserve">discuss </w:t>
      </w:r>
      <w:r>
        <w:t xml:space="preserve">and </w:t>
      </w:r>
      <w:r w:rsidRPr="009B0FE2">
        <w:rPr>
          <w:b/>
          <w:bCs/>
        </w:rPr>
        <w:t>agree</w:t>
      </w:r>
      <w:r>
        <w:t xml:space="preserve"> its priorities for the coming year;</w:t>
      </w:r>
    </w:p>
    <w:p w14:paraId="728F2FAC" w14:textId="77777777" w:rsidR="00CD1898" w:rsidRPr="0028440A" w:rsidRDefault="655CAA28" w:rsidP="009B0FE2">
      <w:pPr>
        <w:pStyle w:val="Paperparalevel2"/>
        <w:numPr>
          <w:ilvl w:val="0"/>
          <w:numId w:val="20"/>
        </w:numPr>
        <w:ind w:left="1418" w:hanging="567"/>
      </w:pPr>
      <w:proofErr w:type="gramStart"/>
      <w:r w:rsidRPr="655CAA28">
        <w:rPr>
          <w:b/>
          <w:bCs/>
        </w:rPr>
        <w:t>report</w:t>
      </w:r>
      <w:proofErr w:type="gramEnd"/>
      <w:r>
        <w:t xml:space="preserve"> to the next meeting of the Board on activity during the past year and priorities for the year ahead.</w:t>
      </w:r>
    </w:p>
    <w:p w14:paraId="7A24DFFA" w14:textId="77777777" w:rsidR="00252D89" w:rsidRPr="008F1A22" w:rsidRDefault="655CAA28" w:rsidP="00413D73">
      <w:pPr>
        <w:pStyle w:val="Paperparalevel1"/>
        <w:ind w:left="426"/>
      </w:pPr>
      <w:bookmarkStart w:id="1" w:name="_Ref419831381"/>
      <w:r>
        <w:t>Background</w:t>
      </w:r>
      <w:bookmarkEnd w:id="1"/>
    </w:p>
    <w:p w14:paraId="50F311F4" w14:textId="77777777" w:rsidR="00413D73" w:rsidRPr="00413D73" w:rsidRDefault="00413D73" w:rsidP="00413D73">
      <w:pPr>
        <w:pStyle w:val="ListParagraph"/>
        <w:numPr>
          <w:ilvl w:val="0"/>
          <w:numId w:val="18"/>
        </w:numPr>
        <w:spacing w:after="240"/>
        <w:contextualSpacing w:val="0"/>
        <w:rPr>
          <w:vanish/>
        </w:rPr>
      </w:pPr>
    </w:p>
    <w:p w14:paraId="05E5FC52" w14:textId="77777777" w:rsidR="00413D73" w:rsidRPr="00413D73" w:rsidRDefault="00413D73" w:rsidP="00413D73">
      <w:pPr>
        <w:pStyle w:val="ListParagraph"/>
        <w:numPr>
          <w:ilvl w:val="0"/>
          <w:numId w:val="18"/>
        </w:numPr>
        <w:spacing w:after="240"/>
        <w:contextualSpacing w:val="0"/>
        <w:rPr>
          <w:vanish/>
        </w:rPr>
      </w:pPr>
    </w:p>
    <w:p w14:paraId="73B17BD1" w14:textId="1804A977" w:rsidR="009B0FE2" w:rsidRDefault="655CAA28" w:rsidP="00413D73">
      <w:pPr>
        <w:pStyle w:val="Paperparalevel2"/>
        <w:numPr>
          <w:ilvl w:val="1"/>
          <w:numId w:val="18"/>
        </w:numPr>
        <w:ind w:left="1134" w:hanging="567"/>
      </w:pPr>
      <w:r>
        <w:t>It is good practice for committees to produce annual report</w:t>
      </w:r>
      <w:r w:rsidR="00E74088">
        <w:t>s for their boards that review</w:t>
      </w:r>
      <w:r>
        <w:t xml:space="preserve"> their activity over the course of the year and priorities for the year ahead.</w:t>
      </w:r>
    </w:p>
    <w:p w14:paraId="7AE806D2" w14:textId="77777777" w:rsidR="655CAA28" w:rsidRDefault="655CAA28" w:rsidP="00413D73">
      <w:pPr>
        <w:pStyle w:val="Paperparalevel2"/>
        <w:numPr>
          <w:ilvl w:val="1"/>
          <w:numId w:val="18"/>
        </w:numPr>
        <w:ind w:left="1134" w:hanging="567"/>
      </w:pPr>
      <w:r>
        <w:t>The report will also inform the Committee's</w:t>
      </w:r>
      <w:r w:rsidR="00204C0A">
        <w:t xml:space="preserve"> annual review of its own performance</w:t>
      </w:r>
      <w:r w:rsidR="000D2CF3">
        <w:t>.</w:t>
      </w:r>
    </w:p>
    <w:p w14:paraId="325A96E8" w14:textId="7618E1C6" w:rsidR="00865741" w:rsidRDefault="655CAA28" w:rsidP="00413D73">
      <w:pPr>
        <w:pStyle w:val="Paperparalevel2"/>
        <w:numPr>
          <w:ilvl w:val="1"/>
          <w:numId w:val="18"/>
        </w:numPr>
        <w:ind w:left="1134" w:hanging="567"/>
      </w:pPr>
      <w:r>
        <w:t xml:space="preserve">The report seeks to provide the Committee with an overview of business conducted </w:t>
      </w:r>
      <w:r w:rsidR="00204C0A">
        <w:t xml:space="preserve">during the period from </w:t>
      </w:r>
      <w:r w:rsidR="00CF619D">
        <w:t>December</w:t>
      </w:r>
      <w:r w:rsidR="00A82BE3">
        <w:t xml:space="preserve"> 2018</w:t>
      </w:r>
      <w:r>
        <w:t xml:space="preserve"> </w:t>
      </w:r>
      <w:r w:rsidR="00204C0A">
        <w:t xml:space="preserve">to </w:t>
      </w:r>
      <w:r w:rsidR="00CF619D">
        <w:t>November</w:t>
      </w:r>
      <w:r w:rsidR="00A82BE3">
        <w:t xml:space="preserve"> 2019</w:t>
      </w:r>
      <w:r w:rsidR="00204C0A">
        <w:t xml:space="preserve"> </w:t>
      </w:r>
      <w:r>
        <w:t>(the previous year</w:t>
      </w:r>
      <w:r w:rsidR="00204C0A">
        <w:t xml:space="preserve">’s report having been considered on </w:t>
      </w:r>
      <w:r w:rsidR="00C67847">
        <w:t>1</w:t>
      </w:r>
      <w:r w:rsidR="00A82BE3">
        <w:t>9</w:t>
      </w:r>
      <w:r w:rsidR="00C67847">
        <w:t xml:space="preserve"> </w:t>
      </w:r>
      <w:r w:rsidR="00CF619D">
        <w:t>December</w:t>
      </w:r>
      <w:r w:rsidR="00A82BE3">
        <w:t xml:space="preserve"> 2018</w:t>
      </w:r>
      <w:r w:rsidR="00204C0A">
        <w:t>)</w:t>
      </w:r>
      <w:r>
        <w:t>.</w:t>
      </w:r>
    </w:p>
    <w:p w14:paraId="585C1C6B" w14:textId="77777777" w:rsidR="00D04BAC" w:rsidRDefault="655CAA28" w:rsidP="009B0FE2">
      <w:pPr>
        <w:pStyle w:val="Paperparalevel1"/>
        <w:ind w:left="426"/>
      </w:pPr>
      <w:r>
        <w:t>Meetings</w:t>
      </w:r>
      <w:r w:rsidR="00625C72">
        <w:t xml:space="preserve"> </w:t>
      </w:r>
      <w:r>
        <w:t xml:space="preserve"> </w:t>
      </w:r>
      <w:r w:rsidR="00813B7B">
        <w:t>and Membership</w:t>
      </w:r>
    </w:p>
    <w:p w14:paraId="49B8F75E" w14:textId="77777777" w:rsidR="00413D73" w:rsidRPr="00413D73" w:rsidRDefault="00413D73" w:rsidP="00413D73">
      <w:pPr>
        <w:pStyle w:val="ListParagraph"/>
        <w:numPr>
          <w:ilvl w:val="0"/>
          <w:numId w:val="18"/>
        </w:numPr>
        <w:spacing w:after="240"/>
        <w:contextualSpacing w:val="0"/>
        <w:rPr>
          <w:vanish/>
        </w:rPr>
      </w:pPr>
    </w:p>
    <w:p w14:paraId="60BB226A" w14:textId="556CCB1D" w:rsidR="00C537BD" w:rsidRDefault="00C537BD" w:rsidP="00413D73">
      <w:pPr>
        <w:pStyle w:val="Paperparalevel2"/>
        <w:numPr>
          <w:ilvl w:val="1"/>
          <w:numId w:val="18"/>
        </w:numPr>
        <w:ind w:left="1134" w:hanging="567"/>
      </w:pPr>
      <w:r>
        <w:t xml:space="preserve">During the period from </w:t>
      </w:r>
      <w:r w:rsidR="00C67847">
        <w:t>December</w:t>
      </w:r>
      <w:r>
        <w:t xml:space="preserve"> 201</w:t>
      </w:r>
      <w:r w:rsidR="00A82BE3">
        <w:t>8</w:t>
      </w:r>
      <w:r w:rsidR="00C67847">
        <w:t xml:space="preserve"> to Novem</w:t>
      </w:r>
      <w:r w:rsidR="00A82BE3">
        <w:t>ber 2019 the committee met on four</w:t>
      </w:r>
      <w:r>
        <w:t xml:space="preserve"> occasions. </w:t>
      </w:r>
      <w:r w:rsidRPr="00DC6801">
        <w:t xml:space="preserve"> </w:t>
      </w:r>
      <w:r w:rsidR="00C67847">
        <w:t>All meetings were quorate</w:t>
      </w:r>
      <w:r>
        <w:t>.</w:t>
      </w:r>
      <w:r w:rsidR="00C67847">
        <w:t xml:space="preserve"> Details of attendance are provided in the table overleaf.</w:t>
      </w:r>
    </w:p>
    <w:p w14:paraId="06242BC8" w14:textId="7134002F" w:rsidR="001A7D5F" w:rsidRDefault="006F0DC3" w:rsidP="00413D73">
      <w:pPr>
        <w:pStyle w:val="Paperparalevel2"/>
        <w:numPr>
          <w:ilvl w:val="1"/>
          <w:numId w:val="18"/>
        </w:numPr>
        <w:ind w:left="1134" w:hanging="567"/>
      </w:pPr>
      <w:r>
        <w:lastRenderedPageBreak/>
        <w:t>The Committee has undergone significant change in membership during the year</w:t>
      </w:r>
      <w:r w:rsidR="00F42C30">
        <w:t>. Key changes were:</w:t>
      </w:r>
      <w:r>
        <w:t xml:space="preserve"> </w:t>
      </w:r>
      <w:r w:rsidR="00C67847">
        <w:t xml:space="preserve">the departure of </w:t>
      </w:r>
      <w:r w:rsidR="00A82BE3">
        <w:t>the previous student member Shaun McLaughlin</w:t>
      </w:r>
      <w:r>
        <w:t>;</w:t>
      </w:r>
      <w:r w:rsidR="00A82BE3">
        <w:t xml:space="preserve"> </w:t>
      </w:r>
      <w:r>
        <w:t xml:space="preserve">the appointment of new members </w:t>
      </w:r>
      <w:r w:rsidR="00A82BE3">
        <w:t>–</w:t>
      </w:r>
      <w:r>
        <w:t xml:space="preserve"> </w:t>
      </w:r>
      <w:r w:rsidR="00A82BE3">
        <w:t xml:space="preserve">David Brown and </w:t>
      </w:r>
      <w:proofErr w:type="spellStart"/>
      <w:r w:rsidR="00A82BE3">
        <w:t>Aranka</w:t>
      </w:r>
      <w:proofErr w:type="spellEnd"/>
      <w:r w:rsidR="00A82BE3">
        <w:t xml:space="preserve"> </w:t>
      </w:r>
      <w:proofErr w:type="spellStart"/>
      <w:r w:rsidR="00A82BE3">
        <w:t>Szilassy</w:t>
      </w:r>
      <w:proofErr w:type="spellEnd"/>
      <w:r w:rsidR="00A82BE3">
        <w:t xml:space="preserve">; and the appointment of a co-opted member </w:t>
      </w:r>
      <w:proofErr w:type="spellStart"/>
      <w:r w:rsidR="00A82BE3">
        <w:t>Anwulika</w:t>
      </w:r>
      <w:proofErr w:type="spellEnd"/>
      <w:r w:rsidR="00A82BE3">
        <w:t xml:space="preserve"> </w:t>
      </w:r>
      <w:proofErr w:type="spellStart"/>
      <w:r w:rsidR="00A82BE3">
        <w:t>Umeh</w:t>
      </w:r>
      <w:proofErr w:type="spellEnd"/>
      <w:r w:rsidR="00A82BE3">
        <w:t>.  For</w:t>
      </w:r>
      <w:r w:rsidR="001C2BA3">
        <w:t xml:space="preserve">mer committee member Alastair </w:t>
      </w:r>
      <w:proofErr w:type="spellStart"/>
      <w:r w:rsidR="001C2BA3">
        <w:t>Milloy</w:t>
      </w:r>
      <w:proofErr w:type="spellEnd"/>
      <w:r w:rsidR="00A82BE3">
        <w:t xml:space="preserve"> moved, with Board </w:t>
      </w:r>
      <w:r w:rsidR="001C2BA3">
        <w:t>approval</w:t>
      </w:r>
      <w:r w:rsidR="00A82BE3">
        <w:t xml:space="preserve">, from </w:t>
      </w:r>
      <w:r w:rsidR="001C2BA3">
        <w:t>this committee</w:t>
      </w:r>
      <w:r w:rsidR="00A82BE3">
        <w:t xml:space="preserve"> to </w:t>
      </w:r>
      <w:r w:rsidR="001C2BA3">
        <w:t xml:space="preserve">the </w:t>
      </w:r>
      <w:r w:rsidR="00A82BE3">
        <w:t>Audit and Assurance</w:t>
      </w:r>
      <w:r w:rsidR="001C2BA3">
        <w:t xml:space="preserve"> Committee at the end of October 2019</w:t>
      </w:r>
      <w:r w:rsidR="00A82BE3">
        <w:t>.</w:t>
      </w:r>
    </w:p>
    <w:tbl>
      <w:tblPr>
        <w:tblStyle w:val="TableGrid"/>
        <w:tblW w:w="0" w:type="auto"/>
        <w:jc w:val="center"/>
        <w:tblLook w:val="04A0" w:firstRow="1" w:lastRow="0" w:firstColumn="1" w:lastColumn="0" w:noHBand="0" w:noVBand="1"/>
      </w:tblPr>
      <w:tblGrid>
        <w:gridCol w:w="2263"/>
        <w:gridCol w:w="1279"/>
        <w:gridCol w:w="4119"/>
      </w:tblGrid>
      <w:tr w:rsidR="001A7D5F" w:rsidRPr="00DC6801" w14:paraId="6018F7E4" w14:textId="77777777" w:rsidTr="00A82BE3">
        <w:trPr>
          <w:jc w:val="center"/>
        </w:trPr>
        <w:tc>
          <w:tcPr>
            <w:tcW w:w="2263" w:type="dxa"/>
            <w:shd w:val="clear" w:color="auto" w:fill="F2F2F2" w:themeFill="background1" w:themeFillShade="F2"/>
          </w:tcPr>
          <w:p w14:paraId="34B04105" w14:textId="77777777" w:rsidR="001A7D5F" w:rsidRPr="00DC6801" w:rsidRDefault="001A7D5F" w:rsidP="00E74088">
            <w:pPr>
              <w:pStyle w:val="Paperparalevel2"/>
              <w:rPr>
                <w:b/>
              </w:rPr>
            </w:pPr>
            <w:r w:rsidRPr="00DC6801">
              <w:rPr>
                <w:b/>
              </w:rPr>
              <w:t>Date of Meeting</w:t>
            </w:r>
          </w:p>
        </w:tc>
        <w:tc>
          <w:tcPr>
            <w:tcW w:w="1279" w:type="dxa"/>
            <w:shd w:val="clear" w:color="auto" w:fill="F2F2F2" w:themeFill="background1" w:themeFillShade="F2"/>
          </w:tcPr>
          <w:p w14:paraId="68BB1A7B" w14:textId="77777777" w:rsidR="001A7D5F" w:rsidRPr="00DC6801" w:rsidRDefault="001A7D5F" w:rsidP="00E74088">
            <w:pPr>
              <w:pStyle w:val="Paperparalevel2"/>
              <w:rPr>
                <w:b/>
              </w:rPr>
            </w:pPr>
            <w:r w:rsidRPr="00DC6801">
              <w:rPr>
                <w:b/>
              </w:rPr>
              <w:t>Percentage Attendance</w:t>
            </w:r>
          </w:p>
        </w:tc>
        <w:tc>
          <w:tcPr>
            <w:tcW w:w="4119" w:type="dxa"/>
            <w:shd w:val="clear" w:color="auto" w:fill="F2F2F2" w:themeFill="background1" w:themeFillShade="F2"/>
          </w:tcPr>
          <w:p w14:paraId="6CF3CD54" w14:textId="77777777" w:rsidR="001A7D5F" w:rsidRPr="00DC6801" w:rsidRDefault="007503C9" w:rsidP="00E74088">
            <w:pPr>
              <w:pStyle w:val="Paperparalevel2"/>
              <w:rPr>
                <w:b/>
              </w:rPr>
            </w:pPr>
            <w:r>
              <w:rPr>
                <w:b/>
              </w:rPr>
              <w:t xml:space="preserve">Total </w:t>
            </w:r>
            <w:r w:rsidR="001A7D5F" w:rsidRPr="00DC6801">
              <w:rPr>
                <w:b/>
              </w:rPr>
              <w:t>Members</w:t>
            </w:r>
          </w:p>
        </w:tc>
      </w:tr>
      <w:tr w:rsidR="001A7D5F" w14:paraId="049DF4C8" w14:textId="77777777" w:rsidTr="00A82BE3">
        <w:trPr>
          <w:jc w:val="center"/>
        </w:trPr>
        <w:tc>
          <w:tcPr>
            <w:tcW w:w="2263" w:type="dxa"/>
          </w:tcPr>
          <w:p w14:paraId="38EAC0B8" w14:textId="29D79C1D" w:rsidR="001A7D5F" w:rsidRDefault="006F0DC3" w:rsidP="00E74088">
            <w:pPr>
              <w:pStyle w:val="Paperparalevel2"/>
            </w:pPr>
            <w:r>
              <w:t>1</w:t>
            </w:r>
            <w:r w:rsidR="00A82BE3">
              <w:t>9 December 2018</w:t>
            </w:r>
          </w:p>
        </w:tc>
        <w:tc>
          <w:tcPr>
            <w:tcW w:w="1279" w:type="dxa"/>
          </w:tcPr>
          <w:p w14:paraId="20F012FC" w14:textId="2D178BCB" w:rsidR="001A7D5F" w:rsidRDefault="001C2BA3" w:rsidP="001C2BA3">
            <w:pPr>
              <w:pStyle w:val="Paperparalevel2"/>
              <w:jc w:val="center"/>
            </w:pPr>
            <w:r>
              <w:t>83%</w:t>
            </w:r>
          </w:p>
        </w:tc>
        <w:tc>
          <w:tcPr>
            <w:tcW w:w="4119" w:type="dxa"/>
          </w:tcPr>
          <w:p w14:paraId="3515139B" w14:textId="7B773404" w:rsidR="001A7D5F" w:rsidRDefault="001C2BA3" w:rsidP="00E74088">
            <w:pPr>
              <w:pStyle w:val="Paperparalevel2"/>
            </w:pPr>
            <w:r>
              <w:t>6</w:t>
            </w:r>
            <w:r w:rsidR="00A82BE3">
              <w:t xml:space="preserve">: </w:t>
            </w:r>
            <w:r w:rsidR="00F42C30">
              <w:t>Caroline Macdonald; Paul Buchana</w:t>
            </w:r>
            <w:r w:rsidR="00A82BE3">
              <w:t xml:space="preserve">n; </w:t>
            </w:r>
            <w:r>
              <w:t xml:space="preserve">Moira Connolly, Shaun McLaughlin, Alastair </w:t>
            </w:r>
            <w:proofErr w:type="spellStart"/>
            <w:r>
              <w:t>Milloy</w:t>
            </w:r>
            <w:proofErr w:type="spellEnd"/>
            <w:r>
              <w:t xml:space="preserve"> &amp; Charlie </w:t>
            </w:r>
            <w:proofErr w:type="spellStart"/>
            <w:r>
              <w:t>Montgommery</w:t>
            </w:r>
            <w:proofErr w:type="spellEnd"/>
          </w:p>
        </w:tc>
      </w:tr>
      <w:tr w:rsidR="001A7D5F" w14:paraId="49B3205B" w14:textId="77777777" w:rsidTr="00A82BE3">
        <w:trPr>
          <w:jc w:val="center"/>
        </w:trPr>
        <w:tc>
          <w:tcPr>
            <w:tcW w:w="2263" w:type="dxa"/>
          </w:tcPr>
          <w:p w14:paraId="3AC45D78" w14:textId="1A947F32" w:rsidR="001A7D5F" w:rsidRDefault="00A82BE3" w:rsidP="00A82BE3">
            <w:pPr>
              <w:pStyle w:val="Paperparalevel2"/>
            </w:pPr>
            <w:r>
              <w:t>14</w:t>
            </w:r>
            <w:r w:rsidR="006F0DC3">
              <w:t xml:space="preserve"> </w:t>
            </w:r>
            <w:r>
              <w:t>March 2019</w:t>
            </w:r>
          </w:p>
        </w:tc>
        <w:tc>
          <w:tcPr>
            <w:tcW w:w="1279" w:type="dxa"/>
          </w:tcPr>
          <w:p w14:paraId="1A42A302" w14:textId="1DCF59CB" w:rsidR="001A7D5F" w:rsidRDefault="001C2BA3" w:rsidP="001C2BA3">
            <w:pPr>
              <w:pStyle w:val="Paperparalevel2"/>
              <w:jc w:val="center"/>
            </w:pPr>
            <w:r>
              <w:t>67%</w:t>
            </w:r>
          </w:p>
        </w:tc>
        <w:tc>
          <w:tcPr>
            <w:tcW w:w="4119" w:type="dxa"/>
          </w:tcPr>
          <w:p w14:paraId="0974321C" w14:textId="5E3172BE" w:rsidR="001A7D5F" w:rsidRDefault="001C2BA3" w:rsidP="00A82BE3">
            <w:pPr>
              <w:pStyle w:val="Paperparalevel2"/>
            </w:pPr>
            <w:r>
              <w:t xml:space="preserve">6: Caroline Macdonald; Paul Buchanan; Moira Connolly, Shaun McLaughlin, Alastair </w:t>
            </w:r>
            <w:proofErr w:type="spellStart"/>
            <w:r>
              <w:t>Milloy</w:t>
            </w:r>
            <w:proofErr w:type="spellEnd"/>
            <w:r>
              <w:t xml:space="preserve"> &amp; Charlie </w:t>
            </w:r>
            <w:proofErr w:type="spellStart"/>
            <w:r>
              <w:t>Montgommery</w:t>
            </w:r>
            <w:proofErr w:type="spellEnd"/>
          </w:p>
        </w:tc>
      </w:tr>
      <w:tr w:rsidR="001A7D5F" w14:paraId="74AB7A81" w14:textId="77777777" w:rsidTr="00A82BE3">
        <w:trPr>
          <w:jc w:val="center"/>
        </w:trPr>
        <w:tc>
          <w:tcPr>
            <w:tcW w:w="2263" w:type="dxa"/>
          </w:tcPr>
          <w:p w14:paraId="77ED2822" w14:textId="340CC054" w:rsidR="001A7D5F" w:rsidRDefault="00A82BE3" w:rsidP="00E74088">
            <w:pPr>
              <w:pStyle w:val="Paperparalevel2"/>
            </w:pPr>
            <w:r>
              <w:t>15 June 2019</w:t>
            </w:r>
          </w:p>
        </w:tc>
        <w:tc>
          <w:tcPr>
            <w:tcW w:w="1279" w:type="dxa"/>
          </w:tcPr>
          <w:p w14:paraId="6029A1D3" w14:textId="5FB16767" w:rsidR="001A7D5F" w:rsidRDefault="001C2BA3" w:rsidP="001C2BA3">
            <w:pPr>
              <w:pStyle w:val="Paperparalevel2"/>
              <w:jc w:val="center"/>
            </w:pPr>
            <w:r>
              <w:t>67%</w:t>
            </w:r>
          </w:p>
        </w:tc>
        <w:tc>
          <w:tcPr>
            <w:tcW w:w="4119" w:type="dxa"/>
          </w:tcPr>
          <w:p w14:paraId="3832170F" w14:textId="7FAE497B" w:rsidR="001A7D5F" w:rsidRDefault="001C2BA3" w:rsidP="00A82BE3">
            <w:pPr>
              <w:pStyle w:val="Paperparalevel2"/>
            </w:pPr>
            <w:r>
              <w:t xml:space="preserve">6: Caroline Macdonald; Paul Buchanan; Moira Connolly, Shaun McLaughlin, Alastair </w:t>
            </w:r>
            <w:proofErr w:type="spellStart"/>
            <w:r>
              <w:t>Milloy</w:t>
            </w:r>
            <w:proofErr w:type="spellEnd"/>
            <w:r>
              <w:t xml:space="preserve"> &amp; Charlie </w:t>
            </w:r>
            <w:proofErr w:type="spellStart"/>
            <w:r>
              <w:t>Montgommery</w:t>
            </w:r>
            <w:proofErr w:type="spellEnd"/>
          </w:p>
        </w:tc>
      </w:tr>
      <w:tr w:rsidR="001A7D5F" w14:paraId="0EC72294" w14:textId="77777777" w:rsidTr="00A82BE3">
        <w:trPr>
          <w:jc w:val="center"/>
        </w:trPr>
        <w:tc>
          <w:tcPr>
            <w:tcW w:w="2263" w:type="dxa"/>
          </w:tcPr>
          <w:p w14:paraId="7187A1D1" w14:textId="4B43105C" w:rsidR="001A7D5F" w:rsidRDefault="00A82BE3" w:rsidP="00E74088">
            <w:pPr>
              <w:pStyle w:val="Paperparalevel2"/>
            </w:pPr>
            <w:r>
              <w:t>2 October 2019</w:t>
            </w:r>
          </w:p>
        </w:tc>
        <w:tc>
          <w:tcPr>
            <w:tcW w:w="1279" w:type="dxa"/>
          </w:tcPr>
          <w:p w14:paraId="7B57D1F9" w14:textId="7D1A6074" w:rsidR="001A7D5F" w:rsidRDefault="001C2BA3" w:rsidP="001C2BA3">
            <w:pPr>
              <w:pStyle w:val="Paperparalevel2"/>
              <w:jc w:val="center"/>
            </w:pPr>
            <w:r>
              <w:t>83%</w:t>
            </w:r>
          </w:p>
        </w:tc>
        <w:tc>
          <w:tcPr>
            <w:tcW w:w="4119" w:type="dxa"/>
          </w:tcPr>
          <w:p w14:paraId="18553A4A" w14:textId="77777777" w:rsidR="00A82BE3" w:rsidRDefault="001C2BA3" w:rsidP="001C2BA3">
            <w:pPr>
              <w:pStyle w:val="Paperparalevel2"/>
            </w:pPr>
            <w:r>
              <w:t xml:space="preserve">6: Caroline Macdonald; Paul Buchanan; Moira Connolly, Alastair </w:t>
            </w:r>
            <w:proofErr w:type="spellStart"/>
            <w:r>
              <w:t>Milloy</w:t>
            </w:r>
            <w:proofErr w:type="spellEnd"/>
            <w:r>
              <w:t xml:space="preserve">, Charlie </w:t>
            </w:r>
            <w:proofErr w:type="spellStart"/>
            <w:r>
              <w:t>Montgommery</w:t>
            </w:r>
            <w:proofErr w:type="spellEnd"/>
            <w:r>
              <w:t xml:space="preserve"> &amp; </w:t>
            </w:r>
            <w:proofErr w:type="spellStart"/>
            <w:r>
              <w:t>Aranka</w:t>
            </w:r>
            <w:proofErr w:type="spellEnd"/>
            <w:r>
              <w:t xml:space="preserve"> </w:t>
            </w:r>
            <w:proofErr w:type="spellStart"/>
            <w:r>
              <w:t>Szilassy</w:t>
            </w:r>
            <w:proofErr w:type="spellEnd"/>
            <w:r>
              <w:t>.</w:t>
            </w:r>
          </w:p>
          <w:p w14:paraId="731F31D1" w14:textId="0C225595" w:rsidR="001C2BA3" w:rsidRDefault="001C2BA3" w:rsidP="001C2BA3">
            <w:pPr>
              <w:pStyle w:val="Paperparalevel2"/>
            </w:pPr>
            <w:proofErr w:type="spellStart"/>
            <w:r>
              <w:t>Anwulika</w:t>
            </w:r>
            <w:proofErr w:type="spellEnd"/>
            <w:r>
              <w:t xml:space="preserve"> </w:t>
            </w:r>
            <w:proofErr w:type="spellStart"/>
            <w:r>
              <w:t>Umeh</w:t>
            </w:r>
            <w:proofErr w:type="spellEnd"/>
            <w:r>
              <w:t xml:space="preserve"> and David Brown were also in attendance.</w:t>
            </w:r>
          </w:p>
        </w:tc>
      </w:tr>
    </w:tbl>
    <w:p w14:paraId="58FEDF9F" w14:textId="77777777" w:rsidR="001A7D5F" w:rsidRDefault="001A7D5F" w:rsidP="001A7D5F">
      <w:pPr>
        <w:pStyle w:val="Paperparalevel2"/>
      </w:pPr>
    </w:p>
    <w:p w14:paraId="44D5AC7B" w14:textId="699C168C" w:rsidR="00813B7B" w:rsidRDefault="00E74088" w:rsidP="00413D73">
      <w:pPr>
        <w:pStyle w:val="Paperparalevel2"/>
        <w:numPr>
          <w:ilvl w:val="1"/>
          <w:numId w:val="18"/>
        </w:numPr>
        <w:ind w:left="1134" w:hanging="567"/>
      </w:pPr>
      <w:r>
        <w:t>G</w:t>
      </w:r>
      <w:r w:rsidR="00813B7B">
        <w:t xml:space="preserve">ender </w:t>
      </w:r>
      <w:r w:rsidR="0033449C">
        <w:t>ratio</w:t>
      </w:r>
      <w:r w:rsidR="00813B7B">
        <w:t xml:space="preserve"> has </w:t>
      </w:r>
      <w:r w:rsidR="0064451E">
        <w:t xml:space="preserve">shifted from </w:t>
      </w:r>
      <w:r w:rsidR="001C2BA3">
        <w:t>1</w:t>
      </w:r>
      <w:r w:rsidR="0064451E">
        <w:t>:</w:t>
      </w:r>
      <w:r w:rsidR="001C2BA3">
        <w:t>2</w:t>
      </w:r>
      <w:r w:rsidR="00F42C30">
        <w:t xml:space="preserve"> (</w:t>
      </w:r>
      <w:proofErr w:type="spellStart"/>
      <w:r w:rsidR="00F42C30">
        <w:t>women</w:t>
      </w:r>
      <w:proofErr w:type="gramStart"/>
      <w:r w:rsidR="00F42C30">
        <w:t>:men</w:t>
      </w:r>
      <w:proofErr w:type="spellEnd"/>
      <w:proofErr w:type="gramEnd"/>
      <w:r w:rsidR="00F42C30">
        <w:t xml:space="preserve">) to </w:t>
      </w:r>
      <w:r w:rsidR="001C2BA3">
        <w:t>1</w:t>
      </w:r>
      <w:r w:rsidR="0033449C">
        <w:t>:</w:t>
      </w:r>
      <w:r w:rsidR="00325DAA">
        <w:t>1</w:t>
      </w:r>
      <w:r w:rsidR="0033449C">
        <w:t xml:space="preserve"> (</w:t>
      </w:r>
      <w:proofErr w:type="spellStart"/>
      <w:r w:rsidR="0033449C">
        <w:t>women:men</w:t>
      </w:r>
      <w:proofErr w:type="spellEnd"/>
      <w:r w:rsidR="0033449C">
        <w:t>) during</w:t>
      </w:r>
      <w:r w:rsidR="00813B7B">
        <w:t xml:space="preserve"> the period</w:t>
      </w:r>
      <w:r w:rsidR="0033449C">
        <w:t xml:space="preserve"> of the report.  The shift has primarily been as a re</w:t>
      </w:r>
      <w:r w:rsidR="0064451E">
        <w:t xml:space="preserve">sult of the student elections (a male student member has been replaced by a female </w:t>
      </w:r>
      <w:r w:rsidR="001C2BA3">
        <w:t>st</w:t>
      </w:r>
      <w:r w:rsidR="0064451E">
        <w:t xml:space="preserve">udent </w:t>
      </w:r>
      <w:r w:rsidR="001C2BA3">
        <w:t>m</w:t>
      </w:r>
      <w:r w:rsidR="0064451E">
        <w:t>ember) and also due to the co-option</w:t>
      </w:r>
      <w:r w:rsidR="001C2BA3">
        <w:t xml:space="preserve"> of a female member to the committee</w:t>
      </w:r>
      <w:r w:rsidR="0064451E">
        <w:t>.</w:t>
      </w:r>
    </w:p>
    <w:p w14:paraId="5446BCBB" w14:textId="77777777" w:rsidR="00813B7B" w:rsidRDefault="00813B7B" w:rsidP="00413D73">
      <w:pPr>
        <w:pStyle w:val="Paperparalevel2"/>
        <w:numPr>
          <w:ilvl w:val="1"/>
          <w:numId w:val="18"/>
        </w:numPr>
        <w:ind w:left="1134" w:hanging="567"/>
      </w:pPr>
      <w:r>
        <w:t xml:space="preserve">All meetings </w:t>
      </w:r>
      <w:r w:rsidR="00E74088">
        <w:t xml:space="preserve">of the Committee </w:t>
      </w:r>
      <w:r>
        <w:t>were attended by the Board Secretary and</w:t>
      </w:r>
      <w:r w:rsidR="002250C3">
        <w:t xml:space="preserve"> appropriate </w:t>
      </w:r>
      <w:r>
        <w:t>members of the Executive Team.</w:t>
      </w:r>
    </w:p>
    <w:p w14:paraId="38C327CD" w14:textId="77777777" w:rsidR="001948CB" w:rsidRDefault="001948CB" w:rsidP="00413D73">
      <w:pPr>
        <w:pStyle w:val="Paperparalevel2"/>
        <w:numPr>
          <w:ilvl w:val="1"/>
          <w:numId w:val="18"/>
        </w:numPr>
        <w:ind w:left="1134" w:hanging="567"/>
      </w:pPr>
      <w:r>
        <w:t>Representatives of Assigned College senior management</w:t>
      </w:r>
      <w:r w:rsidR="002250C3">
        <w:t>,</w:t>
      </w:r>
      <w:r>
        <w:t xml:space="preserve"> </w:t>
      </w:r>
      <w:r w:rsidR="002250C3">
        <w:t xml:space="preserve">ordinarily the Principal, </w:t>
      </w:r>
      <w:r>
        <w:t>wer</w:t>
      </w:r>
      <w:r w:rsidR="002250C3">
        <w:t>e in attendance at all meetings</w:t>
      </w:r>
      <w:r>
        <w:t xml:space="preserve">.  Where </w:t>
      </w:r>
      <w:r w:rsidR="002250C3">
        <w:t>a</w:t>
      </w:r>
      <w:r>
        <w:t xml:space="preserve"> Principal was unable to attend a member of the </w:t>
      </w:r>
      <w:r w:rsidR="002250C3">
        <w:t xml:space="preserve">College’s </w:t>
      </w:r>
      <w:r>
        <w:t xml:space="preserve">senior management team attended </w:t>
      </w:r>
      <w:r w:rsidR="002250C3">
        <w:t>in their place</w:t>
      </w:r>
      <w:r>
        <w:t>.</w:t>
      </w:r>
    </w:p>
    <w:p w14:paraId="31DAC375" w14:textId="77777777" w:rsidR="001A7D5F" w:rsidRDefault="00E74088" w:rsidP="00413D73">
      <w:pPr>
        <w:pStyle w:val="Paperparalevel2"/>
        <w:numPr>
          <w:ilvl w:val="1"/>
          <w:numId w:val="18"/>
        </w:numPr>
        <w:ind w:left="1134" w:hanging="567"/>
      </w:pPr>
      <w:r>
        <w:t>Committee</w:t>
      </w:r>
      <w:r w:rsidR="00813B7B">
        <w:t xml:space="preserve"> minutes </w:t>
      </w:r>
      <w:r w:rsidR="002250C3">
        <w:t>were</w:t>
      </w:r>
      <w:r w:rsidR="001A7D5F">
        <w:t xml:space="preserve"> a standing item on Board agend</w:t>
      </w:r>
      <w:r w:rsidR="00813B7B">
        <w:t>as throughout the period of the</w:t>
      </w:r>
      <w:r w:rsidR="001A7D5F">
        <w:t xml:space="preserve"> report.</w:t>
      </w:r>
    </w:p>
    <w:p w14:paraId="30892D22" w14:textId="77777777" w:rsidR="00516FEB" w:rsidRDefault="655CAA28" w:rsidP="00413D73">
      <w:pPr>
        <w:pStyle w:val="Paperparalevel2"/>
        <w:numPr>
          <w:ilvl w:val="1"/>
          <w:numId w:val="18"/>
        </w:numPr>
        <w:ind w:left="1134" w:hanging="567"/>
      </w:pPr>
      <w:r>
        <w:t xml:space="preserve">Minutes and papers </w:t>
      </w:r>
      <w:r w:rsidR="007503C9">
        <w:t>have been</w:t>
      </w:r>
      <w:r>
        <w:t xml:space="preserve"> published on the website except where exemptions apply under the Freedom of Information (Scotland) Act 2002.</w:t>
      </w:r>
    </w:p>
    <w:p w14:paraId="19952BB9" w14:textId="3C2607B4" w:rsidR="00813B7B" w:rsidRDefault="655CAA28" w:rsidP="00413D73">
      <w:pPr>
        <w:pStyle w:val="Paperparalevel2"/>
        <w:numPr>
          <w:ilvl w:val="1"/>
          <w:numId w:val="18"/>
        </w:numPr>
        <w:ind w:left="1134" w:hanging="567"/>
      </w:pPr>
      <w:r>
        <w:t>All papers presented to meetings of the Committee provided for consideration of risk and strategic and resource implications.</w:t>
      </w:r>
      <w:r w:rsidR="00CE1E8E">
        <w:t xml:space="preserve"> </w:t>
      </w:r>
      <w:r w:rsidR="00B12207">
        <w:t>All</w:t>
      </w:r>
      <w:r w:rsidR="00CE1E8E">
        <w:t xml:space="preserve"> papers have also included consideratio</w:t>
      </w:r>
      <w:r w:rsidR="007503C9">
        <w:t>n of equalities implications, and will do so going forward.</w:t>
      </w:r>
    </w:p>
    <w:p w14:paraId="47990945" w14:textId="77777777" w:rsidR="00865741" w:rsidRDefault="0097135C" w:rsidP="009B0FE2">
      <w:pPr>
        <w:pStyle w:val="Paperparalevel1"/>
        <w:ind w:left="426"/>
      </w:pPr>
      <w:r>
        <w:lastRenderedPageBreak/>
        <w:t>Terms of Reference</w:t>
      </w:r>
    </w:p>
    <w:p w14:paraId="0B8A4408" w14:textId="77777777" w:rsidR="00413D73" w:rsidRPr="00413D73" w:rsidRDefault="00413D73" w:rsidP="00413D73">
      <w:pPr>
        <w:pStyle w:val="ListParagraph"/>
        <w:numPr>
          <w:ilvl w:val="0"/>
          <w:numId w:val="18"/>
        </w:numPr>
        <w:spacing w:after="240"/>
        <w:contextualSpacing w:val="0"/>
        <w:rPr>
          <w:vanish/>
        </w:rPr>
      </w:pPr>
    </w:p>
    <w:p w14:paraId="55056665" w14:textId="54F30EC3" w:rsidR="00865741" w:rsidRDefault="655CAA28" w:rsidP="00A90FF6">
      <w:pPr>
        <w:pStyle w:val="Paperparalevel2"/>
        <w:numPr>
          <w:ilvl w:val="1"/>
          <w:numId w:val="18"/>
        </w:numPr>
        <w:spacing w:after="120"/>
        <w:ind w:left="1134" w:hanging="567"/>
      </w:pPr>
      <w:r>
        <w:t xml:space="preserve">The Committee’s terms of reference set out </w:t>
      </w:r>
      <w:r w:rsidR="007111A0">
        <w:t>responsibilities in the following areas of Board activity</w:t>
      </w:r>
      <w:r>
        <w:t xml:space="preserve">: </w:t>
      </w:r>
    </w:p>
    <w:p w14:paraId="4B3611B9" w14:textId="77777777" w:rsidR="001948CB" w:rsidRDefault="001948CB" w:rsidP="00A90FF6">
      <w:pPr>
        <w:pStyle w:val="Paperparalevel2"/>
        <w:numPr>
          <w:ilvl w:val="2"/>
          <w:numId w:val="29"/>
        </w:numPr>
        <w:tabs>
          <w:tab w:val="left" w:pos="851"/>
        </w:tabs>
        <w:spacing w:after="120"/>
        <w:ind w:left="1775" w:hanging="357"/>
      </w:pPr>
      <w:r>
        <w:t>Finance</w:t>
      </w:r>
    </w:p>
    <w:p w14:paraId="7452C8A9" w14:textId="77777777" w:rsidR="001948CB" w:rsidRDefault="001948CB" w:rsidP="00A90FF6">
      <w:pPr>
        <w:pStyle w:val="Paperparalevel2"/>
        <w:numPr>
          <w:ilvl w:val="2"/>
          <w:numId w:val="29"/>
        </w:numPr>
        <w:tabs>
          <w:tab w:val="left" w:pos="851"/>
        </w:tabs>
        <w:spacing w:after="120"/>
        <w:ind w:left="1775" w:hanging="357"/>
      </w:pPr>
      <w:r>
        <w:t>Performance</w:t>
      </w:r>
    </w:p>
    <w:p w14:paraId="26E8EF29" w14:textId="77777777" w:rsidR="00395051" w:rsidRDefault="001948CB" w:rsidP="00A90FF6">
      <w:pPr>
        <w:pStyle w:val="Paperparalevel2"/>
        <w:numPr>
          <w:ilvl w:val="2"/>
          <w:numId w:val="29"/>
        </w:numPr>
        <w:tabs>
          <w:tab w:val="left" w:pos="851"/>
        </w:tabs>
        <w:spacing w:after="120"/>
        <w:ind w:left="1775" w:hanging="357"/>
      </w:pPr>
      <w:r>
        <w:t>Projects</w:t>
      </w:r>
    </w:p>
    <w:p w14:paraId="512BC3CC" w14:textId="77777777" w:rsidR="00DE4F31" w:rsidRDefault="005F371B" w:rsidP="00413D73">
      <w:pPr>
        <w:pStyle w:val="Paperparalevel2"/>
        <w:numPr>
          <w:ilvl w:val="1"/>
          <w:numId w:val="18"/>
        </w:numPr>
        <w:ind w:left="1134" w:hanging="567"/>
      </w:pPr>
      <w:r>
        <w:t>The C</w:t>
      </w:r>
      <w:r w:rsidR="655CAA28">
        <w:t xml:space="preserve">ommittee </w:t>
      </w:r>
      <w:r w:rsidR="0097135C">
        <w:t>reviews</w:t>
      </w:r>
      <w:r w:rsidR="655CAA28">
        <w:t xml:space="preserve"> its terms of reference </w:t>
      </w:r>
      <w:r w:rsidR="0097135C">
        <w:t>at least annually</w:t>
      </w:r>
      <w:r w:rsidR="00A077CE">
        <w:t xml:space="preserve"> (in the course of its self-evaluation)</w:t>
      </w:r>
      <w:r w:rsidR="00DE4F31">
        <w:t>.</w:t>
      </w:r>
    </w:p>
    <w:p w14:paraId="732F15D1" w14:textId="640E4E61" w:rsidR="00865741" w:rsidRDefault="655CAA28" w:rsidP="009B0FE2">
      <w:pPr>
        <w:pStyle w:val="Paperparalevel1"/>
        <w:ind w:left="426"/>
      </w:pPr>
      <w:r>
        <w:t xml:space="preserve">Activity between </w:t>
      </w:r>
      <w:r w:rsidR="00A077CE">
        <w:t>December</w:t>
      </w:r>
      <w:r w:rsidR="00CA5849">
        <w:t xml:space="preserve"> 2018</w:t>
      </w:r>
      <w:r w:rsidR="00813B7B">
        <w:t xml:space="preserve"> and </w:t>
      </w:r>
      <w:r w:rsidR="00A077CE">
        <w:t>Novem</w:t>
      </w:r>
      <w:r w:rsidR="00CA5849">
        <w:t>ber 2019</w:t>
      </w:r>
    </w:p>
    <w:p w14:paraId="7064EE8E" w14:textId="77777777" w:rsidR="00865741" w:rsidRPr="009B0FE2" w:rsidRDefault="00A077CE" w:rsidP="009B0FE2">
      <w:pPr>
        <w:pStyle w:val="Paperparalevel2"/>
        <w:numPr>
          <w:ilvl w:val="1"/>
          <w:numId w:val="0"/>
        </w:numPr>
        <w:ind w:left="720" w:hanging="294"/>
        <w:rPr>
          <w:b/>
          <w:bCs/>
          <w:iCs/>
        </w:rPr>
      </w:pPr>
      <w:r>
        <w:rPr>
          <w:b/>
          <w:bCs/>
          <w:iCs/>
        </w:rPr>
        <w:t>Finance</w:t>
      </w:r>
    </w:p>
    <w:p w14:paraId="1AF83346" w14:textId="77777777" w:rsidR="00413D73" w:rsidRPr="00413D73" w:rsidRDefault="00413D73" w:rsidP="00413D73">
      <w:pPr>
        <w:pStyle w:val="ListParagraph"/>
        <w:numPr>
          <w:ilvl w:val="0"/>
          <w:numId w:val="18"/>
        </w:numPr>
        <w:spacing w:after="240"/>
        <w:contextualSpacing w:val="0"/>
        <w:rPr>
          <w:vanish/>
        </w:rPr>
      </w:pPr>
    </w:p>
    <w:p w14:paraId="6B20B2B2" w14:textId="79505C77" w:rsidR="00A077CE" w:rsidRDefault="005931D1" w:rsidP="00413D73">
      <w:pPr>
        <w:pStyle w:val="Paperparalevel2"/>
        <w:numPr>
          <w:ilvl w:val="1"/>
          <w:numId w:val="18"/>
        </w:numPr>
        <w:ind w:left="1134" w:hanging="567"/>
      </w:pPr>
      <w:r>
        <w:t>The Committee</w:t>
      </w:r>
      <w:r w:rsidR="00A077CE">
        <w:t xml:space="preserve"> reviewed and provided feedback within the t</w:t>
      </w:r>
      <w:r w:rsidR="00774377">
        <w:t>erms of its remit on the 2018-19</w:t>
      </w:r>
      <w:r w:rsidR="00A077CE">
        <w:t xml:space="preserve"> Annual Report a</w:t>
      </w:r>
      <w:r w:rsidR="00774377">
        <w:t>nd Accounts at its December 2019</w:t>
      </w:r>
      <w:r w:rsidR="00A077CE">
        <w:t xml:space="preserve"> meeting.</w:t>
      </w:r>
    </w:p>
    <w:p w14:paraId="72616AB4" w14:textId="70F1C437" w:rsidR="00025CE3" w:rsidRPr="00413D73" w:rsidRDefault="00413D73" w:rsidP="00413D73">
      <w:pPr>
        <w:pStyle w:val="Paperparalevel2"/>
        <w:numPr>
          <w:ilvl w:val="1"/>
          <w:numId w:val="18"/>
        </w:numPr>
        <w:ind w:left="1134" w:hanging="567"/>
      </w:pPr>
      <w:r>
        <w:t>D</w:t>
      </w:r>
      <w:r w:rsidR="00124C12" w:rsidRPr="00413D73">
        <w:t>uring the course of the year</w:t>
      </w:r>
      <w:r>
        <w:t xml:space="preserve"> the Committee</w:t>
      </w:r>
      <w:r w:rsidR="002C5F81" w:rsidRPr="00413D73">
        <w:t xml:space="preserve"> </w:t>
      </w:r>
      <w:r w:rsidR="00124C12" w:rsidRPr="00413D73">
        <w:t>monitor</w:t>
      </w:r>
      <w:r>
        <w:t xml:space="preserve">ed capital funding and made proposals in respect of such funds. </w:t>
      </w:r>
      <w:r w:rsidR="00FE7DD6" w:rsidRPr="00413D73">
        <w:t xml:space="preserve">The sale of North Hannover Street and subsequent use of the profits was discussed at </w:t>
      </w:r>
      <w:r>
        <w:t>regular intervals</w:t>
      </w:r>
      <w:r w:rsidR="00FE7DD6" w:rsidRPr="00413D73">
        <w:t>.</w:t>
      </w:r>
      <w:r w:rsidR="002C5F81" w:rsidRPr="00413D73">
        <w:t xml:space="preserve"> </w:t>
      </w:r>
    </w:p>
    <w:p w14:paraId="53A04C2A" w14:textId="1952CFFA" w:rsidR="0067567B" w:rsidRPr="00413D73" w:rsidRDefault="00A90FF6" w:rsidP="0051214E">
      <w:pPr>
        <w:pStyle w:val="Paperparalevel2"/>
        <w:numPr>
          <w:ilvl w:val="1"/>
          <w:numId w:val="18"/>
        </w:numPr>
        <w:ind w:left="1134" w:hanging="567"/>
      </w:pPr>
      <w:r>
        <w:t xml:space="preserve">The Committee also considered the allocation of core funds and made recommendations for the Board to consider. </w:t>
      </w:r>
      <w:r w:rsidR="00124C12" w:rsidRPr="00413D73">
        <w:t>In June, the Committee co</w:t>
      </w:r>
      <w:r w:rsidR="00FE7DD6" w:rsidRPr="00413D73">
        <w:t>nsidered a draft budget for 2019-20</w:t>
      </w:r>
      <w:r w:rsidR="00124C12" w:rsidRPr="00413D73">
        <w:t xml:space="preserve"> and recommended this to the Board.</w:t>
      </w:r>
      <w:r w:rsidR="008704DE" w:rsidRPr="008704DE">
        <w:t xml:space="preserve"> </w:t>
      </w:r>
      <w:r>
        <w:t>The Committee also monitored expenditure relating to GCRB running costs at each meeting.</w:t>
      </w:r>
    </w:p>
    <w:p w14:paraId="4796BABA" w14:textId="55140982" w:rsidR="00124C12" w:rsidRPr="00413D73" w:rsidRDefault="00FE7DD6" w:rsidP="00413D73">
      <w:pPr>
        <w:pStyle w:val="Paperparalevel2"/>
        <w:numPr>
          <w:ilvl w:val="1"/>
          <w:numId w:val="18"/>
        </w:numPr>
        <w:ind w:left="1134" w:hanging="567"/>
      </w:pPr>
      <w:r>
        <w:t>In Octo</w:t>
      </w:r>
      <w:r w:rsidR="008704DE">
        <w:t>ber, the Committee approved G</w:t>
      </w:r>
      <w:r w:rsidR="0067567B">
        <w:t>CRB’s Financial Forecast Return for submission to the SFC.</w:t>
      </w:r>
    </w:p>
    <w:p w14:paraId="490775CC" w14:textId="7DC734A2" w:rsidR="00A077CE" w:rsidRDefault="00774377" w:rsidP="00413D73">
      <w:pPr>
        <w:pStyle w:val="Paperparalevel2"/>
        <w:numPr>
          <w:ilvl w:val="1"/>
          <w:numId w:val="18"/>
        </w:numPr>
        <w:ind w:left="1134" w:hanging="567"/>
      </w:pPr>
      <w:r>
        <w:t>In October, the Committee noted that 2018-19 was the second</w:t>
      </w:r>
      <w:r w:rsidR="00A077CE">
        <w:t xml:space="preserve"> year of implementation of the Flexible Workforce Dev</w:t>
      </w:r>
      <w:r>
        <w:t>elopment Fund and that there had been a significant year on year improvement in activity levels</w:t>
      </w:r>
      <w:r w:rsidR="0067567B">
        <w:t>.</w:t>
      </w:r>
      <w:r w:rsidR="00A90FF6">
        <w:t xml:space="preserve"> The Committee monitored progress of activity against this fund at each meeting of the Committee.</w:t>
      </w:r>
    </w:p>
    <w:p w14:paraId="5E3B2176" w14:textId="40123383" w:rsidR="00A90FF6" w:rsidRPr="00413D73" w:rsidRDefault="00A90FF6" w:rsidP="00413D73">
      <w:pPr>
        <w:pStyle w:val="Paperparalevel2"/>
        <w:numPr>
          <w:ilvl w:val="1"/>
          <w:numId w:val="18"/>
        </w:numPr>
        <w:ind w:left="1134" w:hanging="567"/>
      </w:pPr>
      <w:r>
        <w:t>The Committee also received regular reports on the steps taken by GCRB Executive to seek assurance from, and gain confidence in, the financial arrangements operating in the assigned colleges.</w:t>
      </w:r>
    </w:p>
    <w:p w14:paraId="056DE5B1" w14:textId="77777777" w:rsidR="00A90FF6" w:rsidRDefault="00A90FF6">
      <w:pPr>
        <w:spacing w:after="200" w:line="276" w:lineRule="auto"/>
        <w:rPr>
          <w:b/>
          <w:bCs/>
          <w:iCs/>
        </w:rPr>
      </w:pPr>
      <w:r>
        <w:rPr>
          <w:b/>
          <w:bCs/>
          <w:iCs/>
        </w:rPr>
        <w:br w:type="page"/>
      </w:r>
    </w:p>
    <w:p w14:paraId="0E5180BF" w14:textId="1CD07D91" w:rsidR="00865741" w:rsidRDefault="0067567B" w:rsidP="00EB22FC">
      <w:pPr>
        <w:pStyle w:val="Paperparalevel2"/>
        <w:ind w:left="426"/>
        <w:rPr>
          <w:b/>
          <w:bCs/>
          <w:iCs/>
        </w:rPr>
      </w:pPr>
      <w:r>
        <w:rPr>
          <w:b/>
          <w:bCs/>
          <w:iCs/>
        </w:rPr>
        <w:lastRenderedPageBreak/>
        <w:t>Performance</w:t>
      </w:r>
      <w:r w:rsidR="655CAA28" w:rsidRPr="009B0FE2">
        <w:rPr>
          <w:b/>
          <w:bCs/>
          <w:iCs/>
        </w:rPr>
        <w:t xml:space="preserve"> </w:t>
      </w:r>
    </w:p>
    <w:p w14:paraId="67C4DE19" w14:textId="236B1555" w:rsidR="0067567B" w:rsidRDefault="0067567B" w:rsidP="00A90FF6">
      <w:pPr>
        <w:pStyle w:val="Paperparalevel2"/>
        <w:numPr>
          <w:ilvl w:val="1"/>
          <w:numId w:val="18"/>
        </w:numPr>
        <w:ind w:left="1134" w:hanging="567"/>
      </w:pPr>
      <w:r w:rsidRPr="0067567B">
        <w:t>An ongoing element of the Committee’s remit is the review, monitoring and development of the Regional Outcome Agreement.</w:t>
      </w:r>
      <w:r>
        <w:t xml:space="preserve">  The Committee receives reports on three key aspects:</w:t>
      </w:r>
    </w:p>
    <w:p w14:paraId="06896690" w14:textId="77777777" w:rsidR="0067567B" w:rsidRDefault="0067567B" w:rsidP="00A90FF6">
      <w:pPr>
        <w:pStyle w:val="Paperparalevel2"/>
        <w:numPr>
          <w:ilvl w:val="2"/>
          <w:numId w:val="29"/>
        </w:numPr>
        <w:tabs>
          <w:tab w:val="left" w:pos="851"/>
        </w:tabs>
        <w:spacing w:after="120"/>
        <w:ind w:left="1775" w:hanging="357"/>
      </w:pPr>
      <w:r>
        <w:t>The evaluation of the previous year’s ROA.</w:t>
      </w:r>
    </w:p>
    <w:p w14:paraId="603050FE" w14:textId="77777777" w:rsidR="0067567B" w:rsidRDefault="0067567B" w:rsidP="00A90FF6">
      <w:pPr>
        <w:pStyle w:val="Paperparalevel2"/>
        <w:numPr>
          <w:ilvl w:val="2"/>
          <w:numId w:val="29"/>
        </w:numPr>
        <w:tabs>
          <w:tab w:val="left" w:pos="851"/>
        </w:tabs>
        <w:spacing w:after="120"/>
        <w:ind w:left="1775" w:hanging="357"/>
      </w:pPr>
      <w:r>
        <w:t>In-year monitoring reports on progress against the current ROA.</w:t>
      </w:r>
    </w:p>
    <w:p w14:paraId="38A00055" w14:textId="77777777" w:rsidR="0067567B" w:rsidRDefault="0067567B" w:rsidP="00A90FF6">
      <w:pPr>
        <w:pStyle w:val="Paperparalevel2"/>
        <w:numPr>
          <w:ilvl w:val="2"/>
          <w:numId w:val="29"/>
        </w:numPr>
        <w:tabs>
          <w:tab w:val="left" w:pos="851"/>
        </w:tabs>
        <w:spacing w:after="120"/>
        <w:ind w:left="1775" w:hanging="357"/>
      </w:pPr>
      <w:r>
        <w:t>The development of the following year’s ROA.</w:t>
      </w:r>
    </w:p>
    <w:p w14:paraId="452EB0A5" w14:textId="77777777" w:rsidR="009C148B" w:rsidRDefault="00051132" w:rsidP="00A90FF6">
      <w:pPr>
        <w:pStyle w:val="Paperparalevel2"/>
        <w:numPr>
          <w:ilvl w:val="1"/>
          <w:numId w:val="18"/>
        </w:numPr>
        <w:ind w:left="1134" w:hanging="567"/>
      </w:pPr>
      <w:r>
        <w:t>At the March meeting, the Committee considered and agreed the presentation of the draft ROA for 2019-20 to the Board.  At its December 2018</w:t>
      </w:r>
      <w:r w:rsidR="0067567B">
        <w:t xml:space="preserve"> meeting, the Committee reviewed progr</w:t>
      </w:r>
      <w:r>
        <w:t>ess against ROA targets for 2018-19 and agreed to submit the draft ROA target data to the SFC</w:t>
      </w:r>
      <w:r w:rsidR="009B2068">
        <w:t>.</w:t>
      </w:r>
    </w:p>
    <w:p w14:paraId="68FB9C92" w14:textId="4BDFD6F3" w:rsidR="000B5E8F" w:rsidRPr="0067567B" w:rsidRDefault="009C148B" w:rsidP="00A90FF6">
      <w:pPr>
        <w:pStyle w:val="Paperparalevel2"/>
        <w:numPr>
          <w:ilvl w:val="1"/>
          <w:numId w:val="18"/>
        </w:numPr>
        <w:ind w:left="1134" w:hanging="567"/>
      </w:pPr>
      <w:r>
        <w:t>In Octo</w:t>
      </w:r>
      <w:r w:rsidR="000B5E8F">
        <w:t>ber th</w:t>
      </w:r>
      <w:r>
        <w:t>e Committee endorsed the 2018-19</w:t>
      </w:r>
      <w:r w:rsidR="000B5E8F">
        <w:t xml:space="preserve"> ROA evaluation report.</w:t>
      </w:r>
    </w:p>
    <w:p w14:paraId="17B274E4" w14:textId="77777777" w:rsidR="00C35A29" w:rsidRPr="00C35A29" w:rsidRDefault="00C43ACA" w:rsidP="0044486C">
      <w:pPr>
        <w:pStyle w:val="Paperparalevel2"/>
        <w:ind w:left="142"/>
        <w:rPr>
          <w:b/>
        </w:rPr>
      </w:pPr>
      <w:r>
        <w:rPr>
          <w:b/>
        </w:rPr>
        <w:t>Projects</w:t>
      </w:r>
    </w:p>
    <w:p w14:paraId="343B1F3A" w14:textId="5AD52568" w:rsidR="00C43ACA" w:rsidRPr="00A90FF6" w:rsidRDefault="00C35A29" w:rsidP="00A90FF6">
      <w:pPr>
        <w:pStyle w:val="Paperparalevel2"/>
        <w:numPr>
          <w:ilvl w:val="1"/>
          <w:numId w:val="18"/>
        </w:numPr>
        <w:ind w:left="1134" w:hanging="567"/>
      </w:pPr>
      <w:r>
        <w:t>During the period of the</w:t>
      </w:r>
      <w:r w:rsidR="00C43ACA">
        <w:t xml:space="preserve"> </w:t>
      </w:r>
      <w:r w:rsidR="00DB6F16">
        <w:t xml:space="preserve">report the </w:t>
      </w:r>
      <w:r w:rsidR="00C43ACA">
        <w:t>Committee has supported the development of a regional app</w:t>
      </w:r>
      <w:r w:rsidR="00BE525F">
        <w:t>roach to student mental health and wellbeing</w:t>
      </w:r>
      <w:r w:rsidR="00C43ACA">
        <w:t xml:space="preserve">.  </w:t>
      </w:r>
      <w:r w:rsidR="00BE525F">
        <w:t xml:space="preserve">An external consultant has been brought in and a new, regional approach is underway.  The Committee has also supported various other projects including; a collaboration with Action for Children to support care experienced learners during their college experiences, which is now underway; a research project into skills alignment; a bridge to business project and an ESOL partnership project.  </w:t>
      </w:r>
    </w:p>
    <w:p w14:paraId="6D3A9BE9" w14:textId="77777777" w:rsidR="00865741" w:rsidRPr="005F371B" w:rsidRDefault="00F360DA" w:rsidP="0044486C">
      <w:pPr>
        <w:pStyle w:val="Paperparalevel2"/>
        <w:numPr>
          <w:ilvl w:val="1"/>
          <w:numId w:val="0"/>
        </w:numPr>
        <w:ind w:left="644" w:hanging="502"/>
        <w:rPr>
          <w:b/>
          <w:bCs/>
          <w:iCs/>
        </w:rPr>
      </w:pPr>
      <w:r>
        <w:rPr>
          <w:b/>
          <w:bCs/>
          <w:iCs/>
        </w:rPr>
        <w:t xml:space="preserve">Committee Governance </w:t>
      </w:r>
    </w:p>
    <w:p w14:paraId="7C7C2563" w14:textId="77777777" w:rsidR="00A60209" w:rsidRDefault="00F360DA" w:rsidP="00A90FF6">
      <w:pPr>
        <w:pStyle w:val="Paperparalevel2"/>
        <w:numPr>
          <w:ilvl w:val="1"/>
          <w:numId w:val="18"/>
        </w:numPr>
        <w:ind w:left="1134" w:hanging="567"/>
      </w:pPr>
      <w:r>
        <w:t>With reference to sections 4 and 5 of this report, t</w:t>
      </w:r>
      <w:r w:rsidR="655CAA28">
        <w:t xml:space="preserve">he Committee </w:t>
      </w:r>
      <w:r>
        <w:t xml:space="preserve">has acted in accordance with its terms of reference throughout the period of the report. </w:t>
      </w:r>
    </w:p>
    <w:p w14:paraId="41B34EF6" w14:textId="69487D3C" w:rsidR="00F360DA" w:rsidRDefault="00F360DA" w:rsidP="00A90FF6">
      <w:pPr>
        <w:pStyle w:val="Paperparalevel2"/>
        <w:numPr>
          <w:ilvl w:val="1"/>
          <w:numId w:val="18"/>
        </w:numPr>
        <w:ind w:left="1134" w:hanging="567"/>
      </w:pPr>
      <w:r>
        <w:t>The last Committee annual report and self-evaluation were undertaken in December 201</w:t>
      </w:r>
      <w:r w:rsidR="00B12207">
        <w:t>8</w:t>
      </w:r>
      <w:r>
        <w:t>.</w:t>
      </w:r>
    </w:p>
    <w:p w14:paraId="16E900EC" w14:textId="1F181DFD" w:rsidR="00865741" w:rsidRDefault="655CAA28" w:rsidP="00A90FF6">
      <w:pPr>
        <w:pStyle w:val="Paperparalevel1"/>
        <w:ind w:left="426"/>
      </w:pPr>
      <w:r>
        <w:t>Priority issues for 201</w:t>
      </w:r>
      <w:r w:rsidR="00BE525F">
        <w:t>9/20</w:t>
      </w:r>
      <w:r w:rsidR="007E26C3">
        <w:t xml:space="preserve"> and beyond</w:t>
      </w:r>
    </w:p>
    <w:p w14:paraId="7BF91FFA" w14:textId="77777777" w:rsidR="00A90FF6" w:rsidRPr="00A90FF6" w:rsidRDefault="00A90FF6" w:rsidP="00A90FF6">
      <w:pPr>
        <w:pStyle w:val="ListParagraph"/>
        <w:numPr>
          <w:ilvl w:val="0"/>
          <w:numId w:val="18"/>
        </w:numPr>
        <w:spacing w:after="240"/>
        <w:contextualSpacing w:val="0"/>
        <w:rPr>
          <w:vanish/>
        </w:rPr>
      </w:pPr>
    </w:p>
    <w:p w14:paraId="03D51124" w14:textId="06E43605" w:rsidR="00865741" w:rsidRDefault="655CAA28" w:rsidP="00A90FF6">
      <w:pPr>
        <w:pStyle w:val="Paperparalevel2"/>
        <w:numPr>
          <w:ilvl w:val="1"/>
          <w:numId w:val="18"/>
        </w:numPr>
        <w:ind w:left="1134" w:hanging="567"/>
      </w:pPr>
      <w:r>
        <w:t>Members are invited to refle</w:t>
      </w:r>
      <w:r w:rsidR="00207DD9">
        <w:t>ct on progress in the past year and</w:t>
      </w:r>
      <w:r>
        <w:t xml:space="preserve"> significant developments within GCRB or externally impacting on its area of remit, and discuss and identify priorities for the year ahead.  </w:t>
      </w:r>
    </w:p>
    <w:p w14:paraId="1FFF366C" w14:textId="77777777" w:rsidR="00B13EBE" w:rsidRPr="00A90FF6" w:rsidRDefault="00B13EBE" w:rsidP="00A90FF6">
      <w:pPr>
        <w:pStyle w:val="Paperparalevel2"/>
        <w:numPr>
          <w:ilvl w:val="1"/>
          <w:numId w:val="18"/>
        </w:numPr>
        <w:ind w:left="1134" w:hanging="567"/>
      </w:pPr>
      <w:r>
        <w:t xml:space="preserve">Members may </w:t>
      </w:r>
      <w:r w:rsidR="00A60209">
        <w:t>wish to consider</w:t>
      </w:r>
      <w:r>
        <w:t xml:space="preserve"> </w:t>
      </w:r>
      <w:r w:rsidR="002D63F7">
        <w:t>the following areas of activity in looking forwards.</w:t>
      </w:r>
    </w:p>
    <w:p w14:paraId="1CD78462" w14:textId="77777777" w:rsidR="00F360DA" w:rsidRDefault="00B74B8D" w:rsidP="00A90FF6">
      <w:pPr>
        <w:pStyle w:val="Paperparalevel2"/>
        <w:numPr>
          <w:ilvl w:val="1"/>
          <w:numId w:val="31"/>
        </w:numPr>
        <w:ind w:left="1775" w:hanging="357"/>
      </w:pPr>
      <w:r>
        <w:t xml:space="preserve">Ensuring effective </w:t>
      </w:r>
      <w:r w:rsidR="00942003">
        <w:t xml:space="preserve">curriculum planning and delivery which meets Scottish Government </w:t>
      </w:r>
      <w:r>
        <w:t xml:space="preserve">and </w:t>
      </w:r>
      <w:r w:rsidR="00942003">
        <w:t>regional ambitions;</w:t>
      </w:r>
    </w:p>
    <w:p w14:paraId="12FE7175" w14:textId="77777777" w:rsidR="00942003" w:rsidRDefault="00942003" w:rsidP="00A90FF6">
      <w:pPr>
        <w:pStyle w:val="Paperparalevel2"/>
        <w:numPr>
          <w:ilvl w:val="1"/>
          <w:numId w:val="31"/>
        </w:numPr>
        <w:ind w:left="1775" w:hanging="357"/>
      </w:pPr>
      <w:r>
        <w:t xml:space="preserve">Monitoring ROA performance and the delivery of high quality and inclusive learning opportunities; </w:t>
      </w:r>
    </w:p>
    <w:p w14:paraId="78B838E7" w14:textId="0BE1CA89" w:rsidR="00A4441D" w:rsidRDefault="00A4441D" w:rsidP="00A90FF6">
      <w:pPr>
        <w:pStyle w:val="Paperparalevel2"/>
        <w:numPr>
          <w:ilvl w:val="1"/>
          <w:numId w:val="31"/>
        </w:numPr>
        <w:ind w:left="1775" w:hanging="357"/>
      </w:pPr>
      <w:r>
        <w:t xml:space="preserve">Undertaking financial monitoring and planning </w:t>
      </w:r>
      <w:r w:rsidR="008C795C">
        <w:t>for GCRB and across the Glasgow College Region</w:t>
      </w:r>
      <w:r>
        <w:t>;</w:t>
      </w:r>
    </w:p>
    <w:p w14:paraId="46533E6A" w14:textId="77777777" w:rsidR="00942003" w:rsidRDefault="002250C3" w:rsidP="00A90FF6">
      <w:pPr>
        <w:pStyle w:val="Paperparalevel2"/>
        <w:numPr>
          <w:ilvl w:val="1"/>
          <w:numId w:val="31"/>
        </w:numPr>
        <w:ind w:left="1775" w:hanging="357"/>
      </w:pPr>
      <w:r>
        <w:lastRenderedPageBreak/>
        <w:t xml:space="preserve">Ensuring the effective allocation of funding to meet </w:t>
      </w:r>
      <w:r w:rsidR="00942003">
        <w:t xml:space="preserve">regional and SFC/Scottish Government </w:t>
      </w:r>
      <w:r>
        <w:t>strategic priorities</w:t>
      </w:r>
      <w:r w:rsidR="00942003">
        <w:t>; and</w:t>
      </w:r>
    </w:p>
    <w:p w14:paraId="028E4918" w14:textId="5BA13301" w:rsidR="00B13EBE" w:rsidRPr="00F360DA" w:rsidRDefault="00942003" w:rsidP="00A90FF6">
      <w:pPr>
        <w:pStyle w:val="Paperparalevel2"/>
        <w:numPr>
          <w:ilvl w:val="1"/>
          <w:numId w:val="31"/>
        </w:numPr>
        <w:ind w:left="1775" w:hanging="357"/>
      </w:pPr>
      <w:r>
        <w:t xml:space="preserve">Monitoring </w:t>
      </w:r>
      <w:r w:rsidR="006816F8">
        <w:t xml:space="preserve">regional </w:t>
      </w:r>
      <w:r w:rsidR="00BE525F">
        <w:t>projects.</w:t>
      </w:r>
    </w:p>
    <w:p w14:paraId="2796D65E" w14:textId="77777777" w:rsidR="002D63F7" w:rsidRDefault="002D63F7" w:rsidP="002D63F7">
      <w:pPr>
        <w:pStyle w:val="Paperparalevel1"/>
        <w:numPr>
          <w:ilvl w:val="0"/>
          <w:numId w:val="0"/>
        </w:numPr>
        <w:ind w:left="1364"/>
        <w:rPr>
          <w:b w:val="0"/>
        </w:rPr>
      </w:pPr>
    </w:p>
    <w:p w14:paraId="60AA93EA" w14:textId="77777777" w:rsidR="00252D89" w:rsidRPr="003D462C" w:rsidRDefault="655CAA28" w:rsidP="00A90FF6">
      <w:pPr>
        <w:pStyle w:val="Paperparalevel1"/>
        <w:ind w:left="426"/>
      </w:pPr>
      <w:r>
        <w:t>Risk Analysis</w:t>
      </w:r>
    </w:p>
    <w:p w14:paraId="5A020D07" w14:textId="77777777" w:rsidR="00A90FF6" w:rsidRPr="00A90FF6" w:rsidRDefault="00A90FF6" w:rsidP="00A90FF6">
      <w:pPr>
        <w:pStyle w:val="ListParagraph"/>
        <w:numPr>
          <w:ilvl w:val="0"/>
          <w:numId w:val="18"/>
        </w:numPr>
        <w:spacing w:after="240"/>
        <w:contextualSpacing w:val="0"/>
        <w:rPr>
          <w:vanish/>
        </w:rPr>
      </w:pPr>
    </w:p>
    <w:p w14:paraId="0AF95898" w14:textId="7C1F5B64" w:rsidR="00252D89" w:rsidRPr="00A90FF6" w:rsidRDefault="655CAA28" w:rsidP="00A90FF6">
      <w:pPr>
        <w:pStyle w:val="Paperparalevel2"/>
        <w:numPr>
          <w:ilvl w:val="1"/>
          <w:numId w:val="18"/>
        </w:numPr>
        <w:ind w:left="1134" w:hanging="567"/>
        <w:rPr>
          <w:i/>
        </w:rPr>
      </w:pPr>
      <w:r>
        <w:t xml:space="preserve">Performance review and reporting is </w:t>
      </w:r>
      <w:proofErr w:type="gramStart"/>
      <w:r>
        <w:t>key</w:t>
      </w:r>
      <w:proofErr w:type="gramEnd"/>
      <w:r>
        <w:t xml:space="preserve"> to effective systems of governance and internal control.  Therefore, this report contributes to the mitigation </w:t>
      </w:r>
      <w:r w:rsidRPr="00A90FF6">
        <w:rPr>
          <w:i/>
        </w:rPr>
        <w:t xml:space="preserve">of </w:t>
      </w:r>
      <w:r w:rsidR="003E104F" w:rsidRPr="00A90FF6">
        <w:rPr>
          <w:i/>
        </w:rPr>
        <w:t>GCRB Risk 0</w:t>
      </w:r>
      <w:r w:rsidR="007A349D" w:rsidRPr="00A90FF6">
        <w:rPr>
          <w:i/>
        </w:rPr>
        <w:t>12</w:t>
      </w:r>
      <w:r w:rsidR="003E104F" w:rsidRPr="00A90FF6">
        <w:rPr>
          <w:i/>
        </w:rPr>
        <w:t xml:space="preserve">: </w:t>
      </w:r>
      <w:r w:rsidRPr="00A90FF6">
        <w:rPr>
          <w:i/>
        </w:rPr>
        <w:t>the capacity and capability of the Board is inadequate and standards of governance fall below the required level.</w:t>
      </w:r>
    </w:p>
    <w:p w14:paraId="1AC877DE" w14:textId="77777777" w:rsidR="001C1CF4" w:rsidRDefault="655CAA28" w:rsidP="00A90FF6">
      <w:pPr>
        <w:pStyle w:val="Paperparalevel1"/>
        <w:ind w:left="426"/>
      </w:pPr>
      <w:r>
        <w:t>Legal Implications</w:t>
      </w:r>
    </w:p>
    <w:p w14:paraId="0DE14A42" w14:textId="77777777" w:rsidR="007E26C3" w:rsidRPr="007E26C3" w:rsidRDefault="007E26C3" w:rsidP="007E26C3">
      <w:pPr>
        <w:pStyle w:val="ListParagraph"/>
        <w:numPr>
          <w:ilvl w:val="0"/>
          <w:numId w:val="18"/>
        </w:numPr>
        <w:spacing w:after="240"/>
        <w:contextualSpacing w:val="0"/>
        <w:rPr>
          <w:vanish/>
        </w:rPr>
      </w:pPr>
    </w:p>
    <w:p w14:paraId="17AB3F6A" w14:textId="2EEB246E" w:rsidR="00252D89" w:rsidRDefault="655CAA28" w:rsidP="007E26C3">
      <w:pPr>
        <w:pStyle w:val="Paperparalevel2"/>
        <w:numPr>
          <w:ilvl w:val="1"/>
          <w:numId w:val="18"/>
        </w:numPr>
        <w:ind w:left="1134" w:hanging="567"/>
      </w:pPr>
      <w:r>
        <w:t>No legal implications are identified.</w:t>
      </w:r>
    </w:p>
    <w:p w14:paraId="5FD4C656" w14:textId="77777777" w:rsidR="001C2BA3" w:rsidRDefault="001C2BA3" w:rsidP="00A90FF6">
      <w:pPr>
        <w:pStyle w:val="Paperparalevel1"/>
        <w:ind w:left="426"/>
      </w:pPr>
      <w:r>
        <w:t>Equalities Implications</w:t>
      </w:r>
    </w:p>
    <w:p w14:paraId="46512BEA" w14:textId="77777777" w:rsidR="00A90FF6" w:rsidRPr="00A90FF6" w:rsidRDefault="00A90FF6" w:rsidP="00A90FF6">
      <w:pPr>
        <w:pStyle w:val="ListParagraph"/>
        <w:numPr>
          <w:ilvl w:val="0"/>
          <w:numId w:val="35"/>
        </w:numPr>
        <w:tabs>
          <w:tab w:val="left" w:pos="851"/>
        </w:tabs>
        <w:spacing w:after="240"/>
        <w:contextualSpacing w:val="0"/>
        <w:rPr>
          <w:vanish/>
        </w:rPr>
      </w:pPr>
    </w:p>
    <w:p w14:paraId="31012015" w14:textId="77777777" w:rsidR="007E26C3" w:rsidRPr="007E26C3" w:rsidRDefault="007E26C3" w:rsidP="007E26C3">
      <w:pPr>
        <w:pStyle w:val="ListParagraph"/>
        <w:numPr>
          <w:ilvl w:val="0"/>
          <w:numId w:val="18"/>
        </w:numPr>
        <w:spacing w:after="240"/>
        <w:contextualSpacing w:val="0"/>
        <w:rPr>
          <w:vanish/>
        </w:rPr>
      </w:pPr>
    </w:p>
    <w:p w14:paraId="00C9B161" w14:textId="05BFFAB2" w:rsidR="001C2BA3" w:rsidRDefault="001C2BA3" w:rsidP="007E26C3">
      <w:pPr>
        <w:pStyle w:val="Paperparalevel2"/>
        <w:numPr>
          <w:ilvl w:val="1"/>
          <w:numId w:val="18"/>
        </w:numPr>
        <w:ind w:left="1134" w:hanging="567"/>
      </w:pPr>
      <w:r>
        <w:t xml:space="preserve">The evaluation process includes consideration of gender balance. </w:t>
      </w:r>
    </w:p>
    <w:p w14:paraId="1FAC8F17" w14:textId="34D1DB32" w:rsidR="00252D89" w:rsidRPr="003D462C" w:rsidRDefault="655CAA28" w:rsidP="00A90FF6">
      <w:pPr>
        <w:pStyle w:val="Paperparalevel1"/>
        <w:ind w:left="426"/>
      </w:pPr>
      <w:r>
        <w:t>Resource Implications</w:t>
      </w:r>
    </w:p>
    <w:p w14:paraId="2C63D30C" w14:textId="77777777" w:rsidR="00A90FF6" w:rsidRPr="00A90FF6" w:rsidRDefault="00A90FF6" w:rsidP="00A90FF6">
      <w:pPr>
        <w:pStyle w:val="ListParagraph"/>
        <w:numPr>
          <w:ilvl w:val="0"/>
          <w:numId w:val="35"/>
        </w:numPr>
        <w:tabs>
          <w:tab w:val="left" w:pos="851"/>
        </w:tabs>
        <w:spacing w:after="240"/>
        <w:contextualSpacing w:val="0"/>
        <w:rPr>
          <w:vanish/>
        </w:rPr>
      </w:pPr>
    </w:p>
    <w:p w14:paraId="43219AB9" w14:textId="77777777" w:rsidR="007E26C3" w:rsidRPr="007E26C3" w:rsidRDefault="007E26C3" w:rsidP="007E26C3">
      <w:pPr>
        <w:pStyle w:val="ListParagraph"/>
        <w:numPr>
          <w:ilvl w:val="0"/>
          <w:numId w:val="18"/>
        </w:numPr>
        <w:spacing w:after="240"/>
        <w:contextualSpacing w:val="0"/>
        <w:rPr>
          <w:vanish/>
        </w:rPr>
      </w:pPr>
    </w:p>
    <w:p w14:paraId="39FA2711" w14:textId="31BD3832" w:rsidR="00252D89" w:rsidRDefault="655CAA28" w:rsidP="007E26C3">
      <w:pPr>
        <w:pStyle w:val="Paperparalevel2"/>
        <w:numPr>
          <w:ilvl w:val="1"/>
          <w:numId w:val="18"/>
        </w:numPr>
        <w:ind w:left="1134" w:hanging="567"/>
      </w:pPr>
      <w:r>
        <w:t xml:space="preserve">There are no specific resource considerations arising from this paper. </w:t>
      </w:r>
    </w:p>
    <w:p w14:paraId="4CB99C7A" w14:textId="77777777" w:rsidR="001C46D3" w:rsidRDefault="655CAA28" w:rsidP="00A90FF6">
      <w:pPr>
        <w:pStyle w:val="Paperparalevel1"/>
        <w:ind w:left="426"/>
      </w:pPr>
      <w:r>
        <w:t>Strategic Implications</w:t>
      </w:r>
    </w:p>
    <w:p w14:paraId="432F9EC2" w14:textId="77777777" w:rsidR="00A90FF6" w:rsidRPr="00A90FF6" w:rsidRDefault="00A90FF6" w:rsidP="00A90FF6">
      <w:pPr>
        <w:pStyle w:val="ListParagraph"/>
        <w:numPr>
          <w:ilvl w:val="0"/>
          <w:numId w:val="35"/>
        </w:numPr>
        <w:tabs>
          <w:tab w:val="left" w:pos="851"/>
        </w:tabs>
        <w:spacing w:after="240"/>
        <w:contextualSpacing w:val="0"/>
        <w:rPr>
          <w:vanish/>
        </w:rPr>
      </w:pPr>
    </w:p>
    <w:p w14:paraId="47741553" w14:textId="77777777" w:rsidR="007E26C3" w:rsidRPr="007E26C3" w:rsidRDefault="007E26C3" w:rsidP="007E26C3">
      <w:pPr>
        <w:pStyle w:val="ListParagraph"/>
        <w:numPr>
          <w:ilvl w:val="0"/>
          <w:numId w:val="18"/>
        </w:numPr>
        <w:spacing w:after="240"/>
        <w:contextualSpacing w:val="0"/>
        <w:rPr>
          <w:vanish/>
        </w:rPr>
      </w:pPr>
    </w:p>
    <w:p w14:paraId="7E001FB3" w14:textId="71899DB5" w:rsidR="000D2CF3" w:rsidRDefault="001C46D3" w:rsidP="007E26C3">
      <w:pPr>
        <w:pStyle w:val="Paperparalevel2"/>
        <w:numPr>
          <w:ilvl w:val="1"/>
          <w:numId w:val="18"/>
        </w:numPr>
        <w:ind w:left="1134" w:hanging="567"/>
      </w:pPr>
      <w:r>
        <w:t>Through the conditions of grant associated with the Regional Outcome Agreement, GCRB and the assigned colleges are required to conduct their affairs in accordance with the expected standards of good governance</w:t>
      </w:r>
      <w:r w:rsidR="00212C9D">
        <w:t>.</w:t>
      </w:r>
      <w:r>
        <w:t xml:space="preserve"> </w:t>
      </w:r>
    </w:p>
    <w:sectPr w:rsidR="000D2CF3" w:rsidSect="005B3B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5687" w14:textId="77777777" w:rsidR="00AB4941" w:rsidRDefault="00AB4941" w:rsidP="00D20D69">
      <w:r>
        <w:separator/>
      </w:r>
    </w:p>
  </w:endnote>
  <w:endnote w:type="continuationSeparator" w:id="0">
    <w:p w14:paraId="4A4E40F2" w14:textId="77777777" w:rsidR="00AB4941" w:rsidRDefault="00AB4941"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8328"/>
      <w:docPartObj>
        <w:docPartGallery w:val="Page Numbers (Bottom of Page)"/>
        <w:docPartUnique/>
      </w:docPartObj>
    </w:sdtPr>
    <w:sdtEndPr>
      <w:rPr>
        <w:noProof/>
        <w:sz w:val="20"/>
        <w:szCs w:val="20"/>
      </w:rPr>
    </w:sdtEndPr>
    <w:sdtContent>
      <w:p w14:paraId="2272AD20" w14:textId="32237C47" w:rsidR="002250C3" w:rsidRDefault="002250C3" w:rsidP="00D20D69">
        <w:pPr>
          <w:pStyle w:val="Footer"/>
          <w:jc w:val="center"/>
        </w:pPr>
        <w:r w:rsidRPr="655CAA28">
          <w:rPr>
            <w:sz w:val="20"/>
            <w:szCs w:val="20"/>
          </w:rPr>
          <w:t xml:space="preserve">Page | </w:t>
        </w:r>
        <w:r w:rsidR="005B3BDB" w:rsidRPr="655CAA28">
          <w:rPr>
            <w:noProof/>
            <w:sz w:val="20"/>
            <w:szCs w:val="20"/>
          </w:rPr>
          <w:fldChar w:fldCharType="begin"/>
        </w:r>
        <w:r w:rsidRPr="655CAA28">
          <w:rPr>
            <w:noProof/>
            <w:sz w:val="20"/>
            <w:szCs w:val="20"/>
          </w:rPr>
          <w:instrText xml:space="preserve"> PAGE   \* MERGEFORMAT </w:instrText>
        </w:r>
        <w:r w:rsidR="005B3BDB" w:rsidRPr="655CAA28">
          <w:rPr>
            <w:noProof/>
            <w:sz w:val="20"/>
            <w:szCs w:val="20"/>
          </w:rPr>
          <w:fldChar w:fldCharType="separate"/>
        </w:r>
        <w:r w:rsidR="00EB1471">
          <w:rPr>
            <w:noProof/>
            <w:sz w:val="20"/>
            <w:szCs w:val="20"/>
          </w:rPr>
          <w:t>1</w:t>
        </w:r>
        <w:r w:rsidR="005B3BDB" w:rsidRPr="655CAA2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92030" w14:textId="77777777" w:rsidR="00AB4941" w:rsidRDefault="00AB4941" w:rsidP="00D20D69">
      <w:r>
        <w:separator/>
      </w:r>
    </w:p>
  </w:footnote>
  <w:footnote w:type="continuationSeparator" w:id="0">
    <w:p w14:paraId="5A910DBD" w14:textId="77777777" w:rsidR="00AB4941" w:rsidRDefault="00AB4941" w:rsidP="00D2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1AC"/>
    <w:multiLevelType w:val="multilevel"/>
    <w:tmpl w:val="9AF2E00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A265B13"/>
    <w:multiLevelType w:val="hybridMultilevel"/>
    <w:tmpl w:val="4A9CD6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1CB4634E"/>
    <w:multiLevelType w:val="multilevel"/>
    <w:tmpl w:val="E65AA35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nsid w:val="20423334"/>
    <w:multiLevelType w:val="hybridMultilevel"/>
    <w:tmpl w:val="ADAC4C22"/>
    <w:lvl w:ilvl="0" w:tplc="04090003">
      <w:start w:val="1"/>
      <w:numFmt w:val="bullet"/>
      <w:lvlText w:val="o"/>
      <w:lvlJc w:val="left"/>
      <w:pPr>
        <w:ind w:left="928" w:hanging="360"/>
      </w:pPr>
      <w:rPr>
        <w:rFonts w:ascii="Courier New" w:hAnsi="Courier New" w:hint="default"/>
      </w:rPr>
    </w:lvl>
    <w:lvl w:ilvl="1" w:tplc="08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283328C"/>
    <w:multiLevelType w:val="multilevel"/>
    <w:tmpl w:val="C54C7B2E"/>
    <w:lvl w:ilvl="0">
      <w:start w:val="1"/>
      <w:numFmt w:val="decimal"/>
      <w:pStyle w:val="Paperparalevel1"/>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24B20385"/>
    <w:multiLevelType w:val="hybridMultilevel"/>
    <w:tmpl w:val="B462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8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CF5AF0"/>
    <w:multiLevelType w:val="multilevel"/>
    <w:tmpl w:val="2DEAC8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B37FF6"/>
    <w:multiLevelType w:val="multilevel"/>
    <w:tmpl w:val="20FCB6B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2D194FC6"/>
    <w:multiLevelType w:val="multilevel"/>
    <w:tmpl w:val="5C8E2E0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D566ED2"/>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3068413B"/>
    <w:multiLevelType w:val="multilevel"/>
    <w:tmpl w:val="D4A422A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352E6987"/>
    <w:multiLevelType w:val="multilevel"/>
    <w:tmpl w:val="7A5A36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ED82835"/>
    <w:multiLevelType w:val="hybridMultilevel"/>
    <w:tmpl w:val="7170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5">
    <w:nsid w:val="46B2643E"/>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nsid w:val="49450E92"/>
    <w:multiLevelType w:val="multilevel"/>
    <w:tmpl w:val="3F74A600"/>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b/>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4FFC3887"/>
    <w:multiLevelType w:val="multilevel"/>
    <w:tmpl w:val="4F943370"/>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nsid w:val="52CF251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54C26653"/>
    <w:multiLevelType w:val="multilevel"/>
    <w:tmpl w:val="3CB2D3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6C63E3B"/>
    <w:multiLevelType w:val="multilevel"/>
    <w:tmpl w:val="07000E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61E7319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67F311E4"/>
    <w:multiLevelType w:val="hybridMultilevel"/>
    <w:tmpl w:val="ADFC154C"/>
    <w:lvl w:ilvl="0" w:tplc="43BCF834">
      <w:start w:val="1"/>
      <w:numFmt w:val="lowerLetter"/>
      <w:lvlText w:val="%1)"/>
      <w:lvlJc w:val="left"/>
      <w:pPr>
        <w:ind w:left="770" w:hanging="360"/>
      </w:pPr>
      <w:rPr>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3">
    <w:nsid w:val="6A05134E"/>
    <w:multiLevelType w:val="hybridMultilevel"/>
    <w:tmpl w:val="2EC6C67C"/>
    <w:lvl w:ilvl="0" w:tplc="04090005">
      <w:start w:val="1"/>
      <w:numFmt w:val="bullet"/>
      <w:lvlText w:val=""/>
      <w:lvlJc w:val="left"/>
      <w:pPr>
        <w:ind w:left="928" w:hanging="360"/>
      </w:pPr>
      <w:rPr>
        <w:rFonts w:ascii="Wingdings" w:hAnsi="Wingdings" w:hint="default"/>
      </w:rPr>
    </w:lvl>
    <w:lvl w:ilvl="1" w:tplc="08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6E1D136E"/>
    <w:multiLevelType w:val="multilevel"/>
    <w:tmpl w:val="CA36FD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B23475"/>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714401D2"/>
    <w:multiLevelType w:val="hybridMultilevel"/>
    <w:tmpl w:val="E20C6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AA00CD"/>
    <w:multiLevelType w:val="multilevel"/>
    <w:tmpl w:val="FC2A77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4EE2166"/>
    <w:multiLevelType w:val="hybridMultilevel"/>
    <w:tmpl w:val="1F149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29"/>
  </w:num>
  <w:num w:numId="2">
    <w:abstractNumId w:val="14"/>
  </w:num>
  <w:num w:numId="3">
    <w:abstractNumId w:val="18"/>
  </w:num>
  <w:num w:numId="4">
    <w:abstractNumId w:val="7"/>
  </w:num>
  <w:num w:numId="5">
    <w:abstractNumId w:val="25"/>
  </w:num>
  <w:num w:numId="6">
    <w:abstractNumId w:val="10"/>
  </w:num>
  <w:num w:numId="7">
    <w:abstractNumId w:val="15"/>
  </w:num>
  <w:num w:numId="8">
    <w:abstractNumId w:val="4"/>
  </w:num>
  <w:num w:numId="9">
    <w:abstractNumId w:val="21"/>
  </w:num>
  <w:num w:numId="10">
    <w:abstractNumId w:val="13"/>
  </w:num>
  <w:num w:numId="11">
    <w:abstractNumId w:val="28"/>
  </w:num>
  <w:num w:numId="12">
    <w:abstractNumId w:val="4"/>
  </w:num>
  <w:num w:numId="13">
    <w:abstractNumId w:val="4"/>
  </w:num>
  <w:num w:numId="14">
    <w:abstractNumId w:val="4"/>
  </w:num>
  <w:num w:numId="15">
    <w:abstractNumId w:val="12"/>
  </w:num>
  <w:num w:numId="16">
    <w:abstractNumId w:val="9"/>
  </w:num>
  <w:num w:numId="17">
    <w:abstractNumId w:val="1"/>
  </w:num>
  <w:num w:numId="18">
    <w:abstractNumId w:val="16"/>
  </w:num>
  <w:num w:numId="19">
    <w:abstractNumId w:val="20"/>
  </w:num>
  <w:num w:numId="20">
    <w:abstractNumId w:val="22"/>
  </w:num>
  <w:num w:numId="21">
    <w:abstractNumId w:val="6"/>
  </w:num>
  <w:num w:numId="22">
    <w:abstractNumId w:val="0"/>
  </w:num>
  <w:num w:numId="23">
    <w:abstractNumId w:val="2"/>
  </w:num>
  <w:num w:numId="24">
    <w:abstractNumId w:val="19"/>
  </w:num>
  <w:num w:numId="25">
    <w:abstractNumId w:val="8"/>
  </w:num>
  <w:num w:numId="26">
    <w:abstractNumId w:val="27"/>
  </w:num>
  <w:num w:numId="27">
    <w:abstractNumId w:val="17"/>
  </w:num>
  <w:num w:numId="28">
    <w:abstractNumId w:val="11"/>
  </w:num>
  <w:num w:numId="29">
    <w:abstractNumId w:val="5"/>
  </w:num>
  <w:num w:numId="30">
    <w:abstractNumId w:val="23"/>
  </w:num>
  <w:num w:numId="31">
    <w:abstractNumId w:val="3"/>
  </w:num>
  <w:num w:numId="32">
    <w:abstractNumId w:val="4"/>
  </w:num>
  <w:num w:numId="33">
    <w:abstractNumId w:val="4"/>
  </w:num>
  <w:num w:numId="34">
    <w:abstractNumId w:val="4"/>
  </w:num>
  <w:num w:numId="35">
    <w:abstractNumId w:val="24"/>
  </w:num>
  <w:num w:numId="36">
    <w:abstractNumId w:val="4"/>
  </w:num>
  <w:num w:numId="37">
    <w:abstractNumId w:val="4"/>
  </w:num>
  <w:num w:numId="38">
    <w:abstractNumId w:val="4"/>
  </w:num>
  <w:num w:numId="39">
    <w:abstractNumId w:val="4"/>
  </w:num>
  <w:num w:numId="40">
    <w:abstractNumId w:val="4"/>
  </w:num>
  <w:num w:numId="41">
    <w:abstractNumId w:val="26"/>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21B1E"/>
    <w:rsid w:val="00025CE3"/>
    <w:rsid w:val="00051132"/>
    <w:rsid w:val="00084F37"/>
    <w:rsid w:val="00094707"/>
    <w:rsid w:val="000A768F"/>
    <w:rsid w:val="000B5E8F"/>
    <w:rsid w:val="000D2CF3"/>
    <w:rsid w:val="000E2104"/>
    <w:rsid w:val="00115B30"/>
    <w:rsid w:val="00124C12"/>
    <w:rsid w:val="001263EC"/>
    <w:rsid w:val="0016603F"/>
    <w:rsid w:val="001948CB"/>
    <w:rsid w:val="00197F1D"/>
    <w:rsid w:val="001A0333"/>
    <w:rsid w:val="001A0F17"/>
    <w:rsid w:val="001A7D5F"/>
    <w:rsid w:val="001B363A"/>
    <w:rsid w:val="001C102F"/>
    <w:rsid w:val="001C1CF4"/>
    <w:rsid w:val="001C2BA3"/>
    <w:rsid w:val="001C46D3"/>
    <w:rsid w:val="001D7753"/>
    <w:rsid w:val="00204C0A"/>
    <w:rsid w:val="00207DD9"/>
    <w:rsid w:val="00212C9D"/>
    <w:rsid w:val="0022485A"/>
    <w:rsid w:val="00224D20"/>
    <w:rsid w:val="002250C3"/>
    <w:rsid w:val="00244C76"/>
    <w:rsid w:val="00252D89"/>
    <w:rsid w:val="00254099"/>
    <w:rsid w:val="0028440A"/>
    <w:rsid w:val="002C3ED7"/>
    <w:rsid w:val="002C5F81"/>
    <w:rsid w:val="002D63F7"/>
    <w:rsid w:val="002E0BF8"/>
    <w:rsid w:val="00325DAA"/>
    <w:rsid w:val="0033449C"/>
    <w:rsid w:val="0034304C"/>
    <w:rsid w:val="003538FC"/>
    <w:rsid w:val="00380B2A"/>
    <w:rsid w:val="00395051"/>
    <w:rsid w:val="003B097E"/>
    <w:rsid w:val="003E104F"/>
    <w:rsid w:val="003E4333"/>
    <w:rsid w:val="003F09A2"/>
    <w:rsid w:val="00413D73"/>
    <w:rsid w:val="0041483B"/>
    <w:rsid w:val="0044486C"/>
    <w:rsid w:val="004632D2"/>
    <w:rsid w:val="0048452D"/>
    <w:rsid w:val="004A3014"/>
    <w:rsid w:val="004A4528"/>
    <w:rsid w:val="00516FEB"/>
    <w:rsid w:val="00566DC9"/>
    <w:rsid w:val="005721E5"/>
    <w:rsid w:val="005931D1"/>
    <w:rsid w:val="005A3C0C"/>
    <w:rsid w:val="005B3BDB"/>
    <w:rsid w:val="005C41E3"/>
    <w:rsid w:val="005F371B"/>
    <w:rsid w:val="006172E3"/>
    <w:rsid w:val="00625C72"/>
    <w:rsid w:val="0064451E"/>
    <w:rsid w:val="0067567B"/>
    <w:rsid w:val="00676E47"/>
    <w:rsid w:val="006816F8"/>
    <w:rsid w:val="00686A70"/>
    <w:rsid w:val="006B32EB"/>
    <w:rsid w:val="006B3A95"/>
    <w:rsid w:val="006C7B46"/>
    <w:rsid w:val="006F0DC3"/>
    <w:rsid w:val="006F5F40"/>
    <w:rsid w:val="007111A0"/>
    <w:rsid w:val="007251B8"/>
    <w:rsid w:val="0074640E"/>
    <w:rsid w:val="007503C9"/>
    <w:rsid w:val="00772A72"/>
    <w:rsid w:val="00774377"/>
    <w:rsid w:val="007A349D"/>
    <w:rsid w:val="007C752B"/>
    <w:rsid w:val="007E26C3"/>
    <w:rsid w:val="007E5F63"/>
    <w:rsid w:val="007F2B77"/>
    <w:rsid w:val="00801DC9"/>
    <w:rsid w:val="00813B7B"/>
    <w:rsid w:val="00865741"/>
    <w:rsid w:val="008704DE"/>
    <w:rsid w:val="00883CF3"/>
    <w:rsid w:val="008C795C"/>
    <w:rsid w:val="008D113C"/>
    <w:rsid w:val="0090502D"/>
    <w:rsid w:val="00910839"/>
    <w:rsid w:val="00942003"/>
    <w:rsid w:val="0096317E"/>
    <w:rsid w:val="0097135C"/>
    <w:rsid w:val="0099669C"/>
    <w:rsid w:val="009A53A5"/>
    <w:rsid w:val="009B0FE2"/>
    <w:rsid w:val="009B2068"/>
    <w:rsid w:val="009C148B"/>
    <w:rsid w:val="009E1C00"/>
    <w:rsid w:val="009F64E7"/>
    <w:rsid w:val="00A077CE"/>
    <w:rsid w:val="00A13273"/>
    <w:rsid w:val="00A4441D"/>
    <w:rsid w:val="00A60209"/>
    <w:rsid w:val="00A82BE3"/>
    <w:rsid w:val="00A90FF6"/>
    <w:rsid w:val="00AB0CE1"/>
    <w:rsid w:val="00AB4941"/>
    <w:rsid w:val="00AB6D2A"/>
    <w:rsid w:val="00AB7E71"/>
    <w:rsid w:val="00AD0E8F"/>
    <w:rsid w:val="00B12207"/>
    <w:rsid w:val="00B13EBE"/>
    <w:rsid w:val="00B204E2"/>
    <w:rsid w:val="00B43BBD"/>
    <w:rsid w:val="00B664F3"/>
    <w:rsid w:val="00B74B8D"/>
    <w:rsid w:val="00B94D91"/>
    <w:rsid w:val="00BC6714"/>
    <w:rsid w:val="00BE525F"/>
    <w:rsid w:val="00C135AC"/>
    <w:rsid w:val="00C203D0"/>
    <w:rsid w:val="00C35A29"/>
    <w:rsid w:val="00C43ACA"/>
    <w:rsid w:val="00C537BD"/>
    <w:rsid w:val="00C67847"/>
    <w:rsid w:val="00C83D29"/>
    <w:rsid w:val="00CA5849"/>
    <w:rsid w:val="00CD1898"/>
    <w:rsid w:val="00CE1E8E"/>
    <w:rsid w:val="00CF619D"/>
    <w:rsid w:val="00D04BAC"/>
    <w:rsid w:val="00D20D69"/>
    <w:rsid w:val="00D8784F"/>
    <w:rsid w:val="00DA3190"/>
    <w:rsid w:val="00DB01B2"/>
    <w:rsid w:val="00DB6F16"/>
    <w:rsid w:val="00DC6801"/>
    <w:rsid w:val="00DE4F31"/>
    <w:rsid w:val="00E3421C"/>
    <w:rsid w:val="00E74088"/>
    <w:rsid w:val="00EB1471"/>
    <w:rsid w:val="00EB22FC"/>
    <w:rsid w:val="00EB7AFB"/>
    <w:rsid w:val="00EC641F"/>
    <w:rsid w:val="00F04DAE"/>
    <w:rsid w:val="00F05316"/>
    <w:rsid w:val="00F360DA"/>
    <w:rsid w:val="00F412D3"/>
    <w:rsid w:val="00F42C30"/>
    <w:rsid w:val="00F516A8"/>
    <w:rsid w:val="00F655DB"/>
    <w:rsid w:val="00F874C8"/>
    <w:rsid w:val="00FA5377"/>
    <w:rsid w:val="00FE7DD6"/>
    <w:rsid w:val="655CA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spacing w:after="240"/>
      <w:ind w:left="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6E47"/>
    <w:rPr>
      <w:sz w:val="16"/>
      <w:szCs w:val="16"/>
    </w:rPr>
  </w:style>
  <w:style w:type="paragraph" w:styleId="CommentText">
    <w:name w:val="annotation text"/>
    <w:basedOn w:val="Normal"/>
    <w:link w:val="CommentTextChar"/>
    <w:uiPriority w:val="99"/>
    <w:semiHidden/>
    <w:unhideWhenUsed/>
    <w:rsid w:val="00676E47"/>
    <w:rPr>
      <w:sz w:val="20"/>
      <w:szCs w:val="20"/>
    </w:rPr>
  </w:style>
  <w:style w:type="character" w:customStyle="1" w:styleId="CommentTextChar">
    <w:name w:val="Comment Text Char"/>
    <w:basedOn w:val="DefaultParagraphFont"/>
    <w:link w:val="CommentText"/>
    <w:uiPriority w:val="99"/>
    <w:semiHidden/>
    <w:rsid w:val="00676E47"/>
    <w:rPr>
      <w:sz w:val="20"/>
      <w:szCs w:val="20"/>
    </w:rPr>
  </w:style>
  <w:style w:type="paragraph" w:styleId="CommentSubject">
    <w:name w:val="annotation subject"/>
    <w:basedOn w:val="CommentText"/>
    <w:next w:val="CommentText"/>
    <w:link w:val="CommentSubjectChar"/>
    <w:uiPriority w:val="99"/>
    <w:semiHidden/>
    <w:unhideWhenUsed/>
    <w:rsid w:val="00676E47"/>
    <w:rPr>
      <w:b/>
      <w:bCs/>
    </w:rPr>
  </w:style>
  <w:style w:type="character" w:customStyle="1" w:styleId="CommentSubjectChar">
    <w:name w:val="Comment Subject Char"/>
    <w:basedOn w:val="CommentTextChar"/>
    <w:link w:val="CommentSubject"/>
    <w:uiPriority w:val="99"/>
    <w:semiHidden/>
    <w:rsid w:val="00676E47"/>
    <w:rPr>
      <w:b/>
      <w:bCs/>
      <w:sz w:val="20"/>
      <w:szCs w:val="20"/>
    </w:rPr>
  </w:style>
  <w:style w:type="paragraph" w:customStyle="1" w:styleId="Default">
    <w:name w:val="Default"/>
    <w:rsid w:val="009C14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spacing w:after="240"/>
      <w:ind w:left="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6E47"/>
    <w:rPr>
      <w:sz w:val="16"/>
      <w:szCs w:val="16"/>
    </w:rPr>
  </w:style>
  <w:style w:type="paragraph" w:styleId="CommentText">
    <w:name w:val="annotation text"/>
    <w:basedOn w:val="Normal"/>
    <w:link w:val="CommentTextChar"/>
    <w:uiPriority w:val="99"/>
    <w:semiHidden/>
    <w:unhideWhenUsed/>
    <w:rsid w:val="00676E47"/>
    <w:rPr>
      <w:sz w:val="20"/>
      <w:szCs w:val="20"/>
    </w:rPr>
  </w:style>
  <w:style w:type="character" w:customStyle="1" w:styleId="CommentTextChar">
    <w:name w:val="Comment Text Char"/>
    <w:basedOn w:val="DefaultParagraphFont"/>
    <w:link w:val="CommentText"/>
    <w:uiPriority w:val="99"/>
    <w:semiHidden/>
    <w:rsid w:val="00676E47"/>
    <w:rPr>
      <w:sz w:val="20"/>
      <w:szCs w:val="20"/>
    </w:rPr>
  </w:style>
  <w:style w:type="paragraph" w:styleId="CommentSubject">
    <w:name w:val="annotation subject"/>
    <w:basedOn w:val="CommentText"/>
    <w:next w:val="CommentText"/>
    <w:link w:val="CommentSubjectChar"/>
    <w:uiPriority w:val="99"/>
    <w:semiHidden/>
    <w:unhideWhenUsed/>
    <w:rsid w:val="00676E47"/>
    <w:rPr>
      <w:b/>
      <w:bCs/>
    </w:rPr>
  </w:style>
  <w:style w:type="character" w:customStyle="1" w:styleId="CommentSubjectChar">
    <w:name w:val="Comment Subject Char"/>
    <w:basedOn w:val="CommentTextChar"/>
    <w:link w:val="CommentSubject"/>
    <w:uiPriority w:val="99"/>
    <w:semiHidden/>
    <w:rsid w:val="00676E47"/>
    <w:rPr>
      <w:b/>
      <w:bCs/>
      <w:sz w:val="20"/>
      <w:szCs w:val="20"/>
    </w:rPr>
  </w:style>
  <w:style w:type="paragraph" w:customStyle="1" w:styleId="Default">
    <w:name w:val="Default"/>
    <w:rsid w:val="009C14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22089">
      <w:bodyDiv w:val="1"/>
      <w:marLeft w:val="0"/>
      <w:marRight w:val="0"/>
      <w:marTop w:val="0"/>
      <w:marBottom w:val="0"/>
      <w:divBdr>
        <w:top w:val="none" w:sz="0" w:space="0" w:color="auto"/>
        <w:left w:val="none" w:sz="0" w:space="0" w:color="auto"/>
        <w:bottom w:val="none" w:sz="0" w:space="0" w:color="auto"/>
        <w:right w:val="none" w:sz="0" w:space="0" w:color="auto"/>
      </w:divBdr>
    </w:div>
    <w:div w:id="741409188">
      <w:bodyDiv w:val="1"/>
      <w:marLeft w:val="0"/>
      <w:marRight w:val="0"/>
      <w:marTop w:val="0"/>
      <w:marBottom w:val="0"/>
      <w:divBdr>
        <w:top w:val="none" w:sz="0" w:space="0" w:color="auto"/>
        <w:left w:val="none" w:sz="0" w:space="0" w:color="auto"/>
        <w:bottom w:val="none" w:sz="0" w:space="0" w:color="auto"/>
        <w:right w:val="none" w:sz="0" w:space="0" w:color="auto"/>
      </w:divBdr>
      <w:divsChild>
        <w:div w:id="305666555">
          <w:marLeft w:val="0"/>
          <w:marRight w:val="0"/>
          <w:marTop w:val="0"/>
          <w:marBottom w:val="0"/>
          <w:divBdr>
            <w:top w:val="none" w:sz="0" w:space="0" w:color="auto"/>
            <w:left w:val="none" w:sz="0" w:space="0" w:color="auto"/>
            <w:bottom w:val="none" w:sz="0" w:space="0" w:color="auto"/>
            <w:right w:val="none" w:sz="0" w:space="0" w:color="auto"/>
          </w:divBdr>
        </w:div>
        <w:div w:id="998928410">
          <w:marLeft w:val="0"/>
          <w:marRight w:val="0"/>
          <w:marTop w:val="0"/>
          <w:marBottom w:val="0"/>
          <w:divBdr>
            <w:top w:val="none" w:sz="0" w:space="0" w:color="auto"/>
            <w:left w:val="none" w:sz="0" w:space="0" w:color="auto"/>
            <w:bottom w:val="none" w:sz="0" w:space="0" w:color="auto"/>
            <w:right w:val="none" w:sz="0" w:space="0" w:color="auto"/>
          </w:divBdr>
        </w:div>
        <w:div w:id="1203445402">
          <w:marLeft w:val="0"/>
          <w:marRight w:val="0"/>
          <w:marTop w:val="0"/>
          <w:marBottom w:val="0"/>
          <w:divBdr>
            <w:top w:val="none" w:sz="0" w:space="0" w:color="auto"/>
            <w:left w:val="none" w:sz="0" w:space="0" w:color="auto"/>
            <w:bottom w:val="none" w:sz="0" w:space="0" w:color="auto"/>
            <w:right w:val="none" w:sz="0" w:space="0" w:color="auto"/>
          </w:divBdr>
        </w:div>
        <w:div w:id="104932981">
          <w:marLeft w:val="0"/>
          <w:marRight w:val="0"/>
          <w:marTop w:val="0"/>
          <w:marBottom w:val="0"/>
          <w:divBdr>
            <w:top w:val="none" w:sz="0" w:space="0" w:color="auto"/>
            <w:left w:val="none" w:sz="0" w:space="0" w:color="auto"/>
            <w:bottom w:val="none" w:sz="0" w:space="0" w:color="auto"/>
            <w:right w:val="none" w:sz="0" w:space="0" w:color="auto"/>
          </w:divBdr>
        </w:div>
        <w:div w:id="1720931861">
          <w:marLeft w:val="0"/>
          <w:marRight w:val="0"/>
          <w:marTop w:val="0"/>
          <w:marBottom w:val="0"/>
          <w:divBdr>
            <w:top w:val="none" w:sz="0" w:space="0" w:color="auto"/>
            <w:left w:val="none" w:sz="0" w:space="0" w:color="auto"/>
            <w:bottom w:val="none" w:sz="0" w:space="0" w:color="auto"/>
            <w:right w:val="none" w:sz="0" w:space="0" w:color="auto"/>
          </w:divBdr>
        </w:div>
        <w:div w:id="21442144">
          <w:marLeft w:val="0"/>
          <w:marRight w:val="0"/>
          <w:marTop w:val="0"/>
          <w:marBottom w:val="0"/>
          <w:divBdr>
            <w:top w:val="none" w:sz="0" w:space="0" w:color="auto"/>
            <w:left w:val="none" w:sz="0" w:space="0" w:color="auto"/>
            <w:bottom w:val="none" w:sz="0" w:space="0" w:color="auto"/>
            <w:right w:val="none" w:sz="0" w:space="0" w:color="auto"/>
          </w:divBdr>
        </w:div>
        <w:div w:id="946616052">
          <w:marLeft w:val="0"/>
          <w:marRight w:val="0"/>
          <w:marTop w:val="0"/>
          <w:marBottom w:val="0"/>
          <w:divBdr>
            <w:top w:val="none" w:sz="0" w:space="0" w:color="auto"/>
            <w:left w:val="none" w:sz="0" w:space="0" w:color="auto"/>
            <w:bottom w:val="none" w:sz="0" w:space="0" w:color="auto"/>
            <w:right w:val="none" w:sz="0" w:space="0" w:color="auto"/>
          </w:divBdr>
        </w:div>
        <w:div w:id="1224945296">
          <w:marLeft w:val="0"/>
          <w:marRight w:val="0"/>
          <w:marTop w:val="0"/>
          <w:marBottom w:val="0"/>
          <w:divBdr>
            <w:top w:val="none" w:sz="0" w:space="0" w:color="auto"/>
            <w:left w:val="none" w:sz="0" w:space="0" w:color="auto"/>
            <w:bottom w:val="none" w:sz="0" w:space="0" w:color="auto"/>
            <w:right w:val="none" w:sz="0" w:space="0" w:color="auto"/>
          </w:divBdr>
        </w:div>
        <w:div w:id="1589390735">
          <w:marLeft w:val="0"/>
          <w:marRight w:val="0"/>
          <w:marTop w:val="0"/>
          <w:marBottom w:val="0"/>
          <w:divBdr>
            <w:top w:val="none" w:sz="0" w:space="0" w:color="auto"/>
            <w:left w:val="none" w:sz="0" w:space="0" w:color="auto"/>
            <w:bottom w:val="none" w:sz="0" w:space="0" w:color="auto"/>
            <w:right w:val="none" w:sz="0" w:space="0" w:color="auto"/>
          </w:divBdr>
        </w:div>
        <w:div w:id="1395084995">
          <w:marLeft w:val="0"/>
          <w:marRight w:val="0"/>
          <w:marTop w:val="0"/>
          <w:marBottom w:val="0"/>
          <w:divBdr>
            <w:top w:val="none" w:sz="0" w:space="0" w:color="auto"/>
            <w:left w:val="none" w:sz="0" w:space="0" w:color="auto"/>
            <w:bottom w:val="none" w:sz="0" w:space="0" w:color="auto"/>
            <w:right w:val="none" w:sz="0" w:space="0" w:color="auto"/>
          </w:divBdr>
        </w:div>
        <w:div w:id="948665080">
          <w:marLeft w:val="0"/>
          <w:marRight w:val="0"/>
          <w:marTop w:val="0"/>
          <w:marBottom w:val="0"/>
          <w:divBdr>
            <w:top w:val="none" w:sz="0" w:space="0" w:color="auto"/>
            <w:left w:val="none" w:sz="0" w:space="0" w:color="auto"/>
            <w:bottom w:val="none" w:sz="0" w:space="0" w:color="auto"/>
            <w:right w:val="none" w:sz="0" w:space="0" w:color="auto"/>
          </w:divBdr>
        </w:div>
        <w:div w:id="688072003">
          <w:marLeft w:val="0"/>
          <w:marRight w:val="0"/>
          <w:marTop w:val="0"/>
          <w:marBottom w:val="0"/>
          <w:divBdr>
            <w:top w:val="none" w:sz="0" w:space="0" w:color="auto"/>
            <w:left w:val="none" w:sz="0" w:space="0" w:color="auto"/>
            <w:bottom w:val="none" w:sz="0" w:space="0" w:color="auto"/>
            <w:right w:val="none" w:sz="0" w:space="0" w:color="auto"/>
          </w:divBdr>
        </w:div>
        <w:div w:id="234632238">
          <w:marLeft w:val="0"/>
          <w:marRight w:val="0"/>
          <w:marTop w:val="0"/>
          <w:marBottom w:val="0"/>
          <w:divBdr>
            <w:top w:val="none" w:sz="0" w:space="0" w:color="auto"/>
            <w:left w:val="none" w:sz="0" w:space="0" w:color="auto"/>
            <w:bottom w:val="none" w:sz="0" w:space="0" w:color="auto"/>
            <w:right w:val="none" w:sz="0" w:space="0" w:color="auto"/>
          </w:divBdr>
        </w:div>
        <w:div w:id="1862745511">
          <w:marLeft w:val="0"/>
          <w:marRight w:val="0"/>
          <w:marTop w:val="0"/>
          <w:marBottom w:val="0"/>
          <w:divBdr>
            <w:top w:val="none" w:sz="0" w:space="0" w:color="auto"/>
            <w:left w:val="none" w:sz="0" w:space="0" w:color="auto"/>
            <w:bottom w:val="none" w:sz="0" w:space="0" w:color="auto"/>
            <w:right w:val="none" w:sz="0" w:space="0" w:color="auto"/>
          </w:divBdr>
        </w:div>
        <w:div w:id="1382443957">
          <w:marLeft w:val="0"/>
          <w:marRight w:val="0"/>
          <w:marTop w:val="0"/>
          <w:marBottom w:val="0"/>
          <w:divBdr>
            <w:top w:val="none" w:sz="0" w:space="0" w:color="auto"/>
            <w:left w:val="none" w:sz="0" w:space="0" w:color="auto"/>
            <w:bottom w:val="none" w:sz="0" w:space="0" w:color="auto"/>
            <w:right w:val="none" w:sz="0" w:space="0" w:color="auto"/>
          </w:divBdr>
        </w:div>
        <w:div w:id="776943082">
          <w:marLeft w:val="0"/>
          <w:marRight w:val="0"/>
          <w:marTop w:val="0"/>
          <w:marBottom w:val="0"/>
          <w:divBdr>
            <w:top w:val="none" w:sz="0" w:space="0" w:color="auto"/>
            <w:left w:val="none" w:sz="0" w:space="0" w:color="auto"/>
            <w:bottom w:val="none" w:sz="0" w:space="0" w:color="auto"/>
            <w:right w:val="none" w:sz="0" w:space="0" w:color="auto"/>
          </w:divBdr>
        </w:div>
        <w:div w:id="1814521505">
          <w:marLeft w:val="0"/>
          <w:marRight w:val="0"/>
          <w:marTop w:val="0"/>
          <w:marBottom w:val="0"/>
          <w:divBdr>
            <w:top w:val="none" w:sz="0" w:space="0" w:color="auto"/>
            <w:left w:val="none" w:sz="0" w:space="0" w:color="auto"/>
            <w:bottom w:val="none" w:sz="0" w:space="0" w:color="auto"/>
            <w:right w:val="none" w:sz="0" w:space="0" w:color="auto"/>
          </w:divBdr>
        </w:div>
        <w:div w:id="1507750761">
          <w:marLeft w:val="0"/>
          <w:marRight w:val="0"/>
          <w:marTop w:val="0"/>
          <w:marBottom w:val="0"/>
          <w:divBdr>
            <w:top w:val="none" w:sz="0" w:space="0" w:color="auto"/>
            <w:left w:val="none" w:sz="0" w:space="0" w:color="auto"/>
            <w:bottom w:val="none" w:sz="0" w:space="0" w:color="auto"/>
            <w:right w:val="none" w:sz="0" w:space="0" w:color="auto"/>
          </w:divBdr>
        </w:div>
        <w:div w:id="912659983">
          <w:marLeft w:val="0"/>
          <w:marRight w:val="0"/>
          <w:marTop w:val="0"/>
          <w:marBottom w:val="0"/>
          <w:divBdr>
            <w:top w:val="none" w:sz="0" w:space="0" w:color="auto"/>
            <w:left w:val="none" w:sz="0" w:space="0" w:color="auto"/>
            <w:bottom w:val="none" w:sz="0" w:space="0" w:color="auto"/>
            <w:right w:val="none" w:sz="0" w:space="0" w:color="auto"/>
          </w:divBdr>
        </w:div>
        <w:div w:id="1290672902">
          <w:marLeft w:val="0"/>
          <w:marRight w:val="0"/>
          <w:marTop w:val="0"/>
          <w:marBottom w:val="0"/>
          <w:divBdr>
            <w:top w:val="none" w:sz="0" w:space="0" w:color="auto"/>
            <w:left w:val="none" w:sz="0" w:space="0" w:color="auto"/>
            <w:bottom w:val="none" w:sz="0" w:space="0" w:color="auto"/>
            <w:right w:val="none" w:sz="0" w:space="0" w:color="auto"/>
          </w:divBdr>
        </w:div>
        <w:div w:id="1216350664">
          <w:marLeft w:val="0"/>
          <w:marRight w:val="0"/>
          <w:marTop w:val="0"/>
          <w:marBottom w:val="0"/>
          <w:divBdr>
            <w:top w:val="none" w:sz="0" w:space="0" w:color="auto"/>
            <w:left w:val="none" w:sz="0" w:space="0" w:color="auto"/>
            <w:bottom w:val="none" w:sz="0" w:space="0" w:color="auto"/>
            <w:right w:val="none" w:sz="0" w:space="0" w:color="auto"/>
          </w:divBdr>
        </w:div>
        <w:div w:id="1097284875">
          <w:marLeft w:val="0"/>
          <w:marRight w:val="0"/>
          <w:marTop w:val="0"/>
          <w:marBottom w:val="0"/>
          <w:divBdr>
            <w:top w:val="none" w:sz="0" w:space="0" w:color="auto"/>
            <w:left w:val="none" w:sz="0" w:space="0" w:color="auto"/>
            <w:bottom w:val="none" w:sz="0" w:space="0" w:color="auto"/>
            <w:right w:val="none" w:sz="0" w:space="0" w:color="auto"/>
          </w:divBdr>
        </w:div>
        <w:div w:id="1653828975">
          <w:marLeft w:val="0"/>
          <w:marRight w:val="0"/>
          <w:marTop w:val="0"/>
          <w:marBottom w:val="0"/>
          <w:divBdr>
            <w:top w:val="none" w:sz="0" w:space="0" w:color="auto"/>
            <w:left w:val="none" w:sz="0" w:space="0" w:color="auto"/>
            <w:bottom w:val="none" w:sz="0" w:space="0" w:color="auto"/>
            <w:right w:val="none" w:sz="0" w:space="0" w:color="auto"/>
          </w:divBdr>
        </w:div>
        <w:div w:id="1361053497">
          <w:marLeft w:val="0"/>
          <w:marRight w:val="0"/>
          <w:marTop w:val="0"/>
          <w:marBottom w:val="0"/>
          <w:divBdr>
            <w:top w:val="none" w:sz="0" w:space="0" w:color="auto"/>
            <w:left w:val="none" w:sz="0" w:space="0" w:color="auto"/>
            <w:bottom w:val="none" w:sz="0" w:space="0" w:color="auto"/>
            <w:right w:val="none" w:sz="0" w:space="0" w:color="auto"/>
          </w:divBdr>
        </w:div>
        <w:div w:id="436026522">
          <w:marLeft w:val="0"/>
          <w:marRight w:val="0"/>
          <w:marTop w:val="0"/>
          <w:marBottom w:val="0"/>
          <w:divBdr>
            <w:top w:val="none" w:sz="0" w:space="0" w:color="auto"/>
            <w:left w:val="none" w:sz="0" w:space="0" w:color="auto"/>
            <w:bottom w:val="none" w:sz="0" w:space="0" w:color="auto"/>
            <w:right w:val="none" w:sz="0" w:space="0" w:color="auto"/>
          </w:divBdr>
        </w:div>
        <w:div w:id="2067339001">
          <w:marLeft w:val="0"/>
          <w:marRight w:val="0"/>
          <w:marTop w:val="0"/>
          <w:marBottom w:val="0"/>
          <w:divBdr>
            <w:top w:val="none" w:sz="0" w:space="0" w:color="auto"/>
            <w:left w:val="none" w:sz="0" w:space="0" w:color="auto"/>
            <w:bottom w:val="none" w:sz="0" w:space="0" w:color="auto"/>
            <w:right w:val="none" w:sz="0" w:space="0" w:color="auto"/>
          </w:divBdr>
        </w:div>
        <w:div w:id="1384675413">
          <w:marLeft w:val="0"/>
          <w:marRight w:val="0"/>
          <w:marTop w:val="0"/>
          <w:marBottom w:val="0"/>
          <w:divBdr>
            <w:top w:val="none" w:sz="0" w:space="0" w:color="auto"/>
            <w:left w:val="none" w:sz="0" w:space="0" w:color="auto"/>
            <w:bottom w:val="none" w:sz="0" w:space="0" w:color="auto"/>
            <w:right w:val="none" w:sz="0" w:space="0" w:color="auto"/>
          </w:divBdr>
        </w:div>
        <w:div w:id="1989429891">
          <w:marLeft w:val="0"/>
          <w:marRight w:val="0"/>
          <w:marTop w:val="0"/>
          <w:marBottom w:val="0"/>
          <w:divBdr>
            <w:top w:val="none" w:sz="0" w:space="0" w:color="auto"/>
            <w:left w:val="none" w:sz="0" w:space="0" w:color="auto"/>
            <w:bottom w:val="none" w:sz="0" w:space="0" w:color="auto"/>
            <w:right w:val="none" w:sz="0" w:space="0" w:color="auto"/>
          </w:divBdr>
        </w:div>
        <w:div w:id="265119870">
          <w:marLeft w:val="0"/>
          <w:marRight w:val="0"/>
          <w:marTop w:val="0"/>
          <w:marBottom w:val="0"/>
          <w:divBdr>
            <w:top w:val="none" w:sz="0" w:space="0" w:color="auto"/>
            <w:left w:val="none" w:sz="0" w:space="0" w:color="auto"/>
            <w:bottom w:val="none" w:sz="0" w:space="0" w:color="auto"/>
            <w:right w:val="none" w:sz="0" w:space="0" w:color="auto"/>
          </w:divBdr>
        </w:div>
        <w:div w:id="1406075655">
          <w:marLeft w:val="0"/>
          <w:marRight w:val="0"/>
          <w:marTop w:val="0"/>
          <w:marBottom w:val="0"/>
          <w:divBdr>
            <w:top w:val="none" w:sz="0" w:space="0" w:color="auto"/>
            <w:left w:val="none" w:sz="0" w:space="0" w:color="auto"/>
            <w:bottom w:val="none" w:sz="0" w:space="0" w:color="auto"/>
            <w:right w:val="none" w:sz="0" w:space="0" w:color="auto"/>
          </w:divBdr>
        </w:div>
        <w:div w:id="1053582818">
          <w:marLeft w:val="0"/>
          <w:marRight w:val="0"/>
          <w:marTop w:val="0"/>
          <w:marBottom w:val="0"/>
          <w:divBdr>
            <w:top w:val="none" w:sz="0" w:space="0" w:color="auto"/>
            <w:left w:val="none" w:sz="0" w:space="0" w:color="auto"/>
            <w:bottom w:val="none" w:sz="0" w:space="0" w:color="auto"/>
            <w:right w:val="none" w:sz="0" w:space="0" w:color="auto"/>
          </w:divBdr>
        </w:div>
        <w:div w:id="918976167">
          <w:marLeft w:val="0"/>
          <w:marRight w:val="0"/>
          <w:marTop w:val="0"/>
          <w:marBottom w:val="0"/>
          <w:divBdr>
            <w:top w:val="none" w:sz="0" w:space="0" w:color="auto"/>
            <w:left w:val="none" w:sz="0" w:space="0" w:color="auto"/>
            <w:bottom w:val="none" w:sz="0" w:space="0" w:color="auto"/>
            <w:right w:val="none" w:sz="0" w:space="0" w:color="auto"/>
          </w:divBdr>
        </w:div>
        <w:div w:id="157356192">
          <w:marLeft w:val="0"/>
          <w:marRight w:val="0"/>
          <w:marTop w:val="0"/>
          <w:marBottom w:val="0"/>
          <w:divBdr>
            <w:top w:val="none" w:sz="0" w:space="0" w:color="auto"/>
            <w:left w:val="none" w:sz="0" w:space="0" w:color="auto"/>
            <w:bottom w:val="none" w:sz="0" w:space="0" w:color="auto"/>
            <w:right w:val="none" w:sz="0" w:space="0" w:color="auto"/>
          </w:divBdr>
        </w:div>
        <w:div w:id="1267347018">
          <w:marLeft w:val="0"/>
          <w:marRight w:val="0"/>
          <w:marTop w:val="0"/>
          <w:marBottom w:val="0"/>
          <w:divBdr>
            <w:top w:val="none" w:sz="0" w:space="0" w:color="auto"/>
            <w:left w:val="none" w:sz="0" w:space="0" w:color="auto"/>
            <w:bottom w:val="none" w:sz="0" w:space="0" w:color="auto"/>
            <w:right w:val="none" w:sz="0" w:space="0" w:color="auto"/>
          </w:divBdr>
        </w:div>
        <w:div w:id="1892115835">
          <w:marLeft w:val="0"/>
          <w:marRight w:val="0"/>
          <w:marTop w:val="0"/>
          <w:marBottom w:val="0"/>
          <w:divBdr>
            <w:top w:val="none" w:sz="0" w:space="0" w:color="auto"/>
            <w:left w:val="none" w:sz="0" w:space="0" w:color="auto"/>
            <w:bottom w:val="none" w:sz="0" w:space="0" w:color="auto"/>
            <w:right w:val="none" w:sz="0" w:space="0" w:color="auto"/>
          </w:divBdr>
        </w:div>
        <w:div w:id="1042633475">
          <w:marLeft w:val="0"/>
          <w:marRight w:val="0"/>
          <w:marTop w:val="0"/>
          <w:marBottom w:val="0"/>
          <w:divBdr>
            <w:top w:val="none" w:sz="0" w:space="0" w:color="auto"/>
            <w:left w:val="none" w:sz="0" w:space="0" w:color="auto"/>
            <w:bottom w:val="none" w:sz="0" w:space="0" w:color="auto"/>
            <w:right w:val="none" w:sz="0" w:space="0" w:color="auto"/>
          </w:divBdr>
        </w:div>
        <w:div w:id="946814374">
          <w:marLeft w:val="0"/>
          <w:marRight w:val="0"/>
          <w:marTop w:val="0"/>
          <w:marBottom w:val="0"/>
          <w:divBdr>
            <w:top w:val="none" w:sz="0" w:space="0" w:color="auto"/>
            <w:left w:val="none" w:sz="0" w:space="0" w:color="auto"/>
            <w:bottom w:val="none" w:sz="0" w:space="0" w:color="auto"/>
            <w:right w:val="none" w:sz="0" w:space="0" w:color="auto"/>
          </w:divBdr>
        </w:div>
        <w:div w:id="311911334">
          <w:marLeft w:val="0"/>
          <w:marRight w:val="0"/>
          <w:marTop w:val="0"/>
          <w:marBottom w:val="0"/>
          <w:divBdr>
            <w:top w:val="none" w:sz="0" w:space="0" w:color="auto"/>
            <w:left w:val="none" w:sz="0" w:space="0" w:color="auto"/>
            <w:bottom w:val="none" w:sz="0" w:space="0" w:color="auto"/>
            <w:right w:val="none" w:sz="0" w:space="0" w:color="auto"/>
          </w:divBdr>
        </w:div>
        <w:div w:id="158086287">
          <w:marLeft w:val="0"/>
          <w:marRight w:val="0"/>
          <w:marTop w:val="0"/>
          <w:marBottom w:val="0"/>
          <w:divBdr>
            <w:top w:val="none" w:sz="0" w:space="0" w:color="auto"/>
            <w:left w:val="none" w:sz="0" w:space="0" w:color="auto"/>
            <w:bottom w:val="none" w:sz="0" w:space="0" w:color="auto"/>
            <w:right w:val="none" w:sz="0" w:space="0" w:color="auto"/>
          </w:divBdr>
        </w:div>
        <w:div w:id="1946770035">
          <w:marLeft w:val="0"/>
          <w:marRight w:val="0"/>
          <w:marTop w:val="0"/>
          <w:marBottom w:val="0"/>
          <w:divBdr>
            <w:top w:val="none" w:sz="0" w:space="0" w:color="auto"/>
            <w:left w:val="none" w:sz="0" w:space="0" w:color="auto"/>
            <w:bottom w:val="none" w:sz="0" w:space="0" w:color="auto"/>
            <w:right w:val="none" w:sz="0" w:space="0" w:color="auto"/>
          </w:divBdr>
        </w:div>
        <w:div w:id="225382287">
          <w:marLeft w:val="0"/>
          <w:marRight w:val="0"/>
          <w:marTop w:val="0"/>
          <w:marBottom w:val="0"/>
          <w:divBdr>
            <w:top w:val="none" w:sz="0" w:space="0" w:color="auto"/>
            <w:left w:val="none" w:sz="0" w:space="0" w:color="auto"/>
            <w:bottom w:val="none" w:sz="0" w:space="0" w:color="auto"/>
            <w:right w:val="none" w:sz="0" w:space="0" w:color="auto"/>
          </w:divBdr>
        </w:div>
        <w:div w:id="2100516430">
          <w:marLeft w:val="0"/>
          <w:marRight w:val="0"/>
          <w:marTop w:val="0"/>
          <w:marBottom w:val="0"/>
          <w:divBdr>
            <w:top w:val="none" w:sz="0" w:space="0" w:color="auto"/>
            <w:left w:val="none" w:sz="0" w:space="0" w:color="auto"/>
            <w:bottom w:val="none" w:sz="0" w:space="0" w:color="auto"/>
            <w:right w:val="none" w:sz="0" w:space="0" w:color="auto"/>
          </w:divBdr>
        </w:div>
        <w:div w:id="109276951">
          <w:marLeft w:val="0"/>
          <w:marRight w:val="0"/>
          <w:marTop w:val="0"/>
          <w:marBottom w:val="0"/>
          <w:divBdr>
            <w:top w:val="none" w:sz="0" w:space="0" w:color="auto"/>
            <w:left w:val="none" w:sz="0" w:space="0" w:color="auto"/>
            <w:bottom w:val="none" w:sz="0" w:space="0" w:color="auto"/>
            <w:right w:val="none" w:sz="0" w:space="0" w:color="auto"/>
          </w:divBdr>
        </w:div>
        <w:div w:id="2096969979">
          <w:marLeft w:val="0"/>
          <w:marRight w:val="0"/>
          <w:marTop w:val="0"/>
          <w:marBottom w:val="0"/>
          <w:divBdr>
            <w:top w:val="none" w:sz="0" w:space="0" w:color="auto"/>
            <w:left w:val="none" w:sz="0" w:space="0" w:color="auto"/>
            <w:bottom w:val="none" w:sz="0" w:space="0" w:color="auto"/>
            <w:right w:val="none" w:sz="0" w:space="0" w:color="auto"/>
          </w:divBdr>
        </w:div>
        <w:div w:id="2069061598">
          <w:marLeft w:val="0"/>
          <w:marRight w:val="0"/>
          <w:marTop w:val="0"/>
          <w:marBottom w:val="0"/>
          <w:divBdr>
            <w:top w:val="none" w:sz="0" w:space="0" w:color="auto"/>
            <w:left w:val="none" w:sz="0" w:space="0" w:color="auto"/>
            <w:bottom w:val="none" w:sz="0" w:space="0" w:color="auto"/>
            <w:right w:val="none" w:sz="0" w:space="0" w:color="auto"/>
          </w:divBdr>
        </w:div>
        <w:div w:id="1605186614">
          <w:marLeft w:val="0"/>
          <w:marRight w:val="0"/>
          <w:marTop w:val="0"/>
          <w:marBottom w:val="0"/>
          <w:divBdr>
            <w:top w:val="none" w:sz="0" w:space="0" w:color="auto"/>
            <w:left w:val="none" w:sz="0" w:space="0" w:color="auto"/>
            <w:bottom w:val="none" w:sz="0" w:space="0" w:color="auto"/>
            <w:right w:val="none" w:sz="0" w:space="0" w:color="auto"/>
          </w:divBdr>
        </w:div>
        <w:div w:id="492642236">
          <w:marLeft w:val="0"/>
          <w:marRight w:val="0"/>
          <w:marTop w:val="0"/>
          <w:marBottom w:val="0"/>
          <w:divBdr>
            <w:top w:val="none" w:sz="0" w:space="0" w:color="auto"/>
            <w:left w:val="none" w:sz="0" w:space="0" w:color="auto"/>
            <w:bottom w:val="none" w:sz="0" w:space="0" w:color="auto"/>
            <w:right w:val="none" w:sz="0" w:space="0" w:color="auto"/>
          </w:divBdr>
        </w:div>
        <w:div w:id="155339259">
          <w:marLeft w:val="0"/>
          <w:marRight w:val="0"/>
          <w:marTop w:val="0"/>
          <w:marBottom w:val="0"/>
          <w:divBdr>
            <w:top w:val="none" w:sz="0" w:space="0" w:color="auto"/>
            <w:left w:val="none" w:sz="0" w:space="0" w:color="auto"/>
            <w:bottom w:val="none" w:sz="0" w:space="0" w:color="auto"/>
            <w:right w:val="none" w:sz="0" w:space="0" w:color="auto"/>
          </w:divBdr>
        </w:div>
        <w:div w:id="961498372">
          <w:marLeft w:val="0"/>
          <w:marRight w:val="0"/>
          <w:marTop w:val="0"/>
          <w:marBottom w:val="0"/>
          <w:divBdr>
            <w:top w:val="none" w:sz="0" w:space="0" w:color="auto"/>
            <w:left w:val="none" w:sz="0" w:space="0" w:color="auto"/>
            <w:bottom w:val="none" w:sz="0" w:space="0" w:color="auto"/>
            <w:right w:val="none" w:sz="0" w:space="0" w:color="auto"/>
          </w:divBdr>
        </w:div>
        <w:div w:id="934940575">
          <w:marLeft w:val="0"/>
          <w:marRight w:val="0"/>
          <w:marTop w:val="0"/>
          <w:marBottom w:val="0"/>
          <w:divBdr>
            <w:top w:val="none" w:sz="0" w:space="0" w:color="auto"/>
            <w:left w:val="none" w:sz="0" w:space="0" w:color="auto"/>
            <w:bottom w:val="none" w:sz="0" w:space="0" w:color="auto"/>
            <w:right w:val="none" w:sz="0" w:space="0" w:color="auto"/>
          </w:divBdr>
        </w:div>
        <w:div w:id="1649555456">
          <w:marLeft w:val="0"/>
          <w:marRight w:val="0"/>
          <w:marTop w:val="0"/>
          <w:marBottom w:val="0"/>
          <w:divBdr>
            <w:top w:val="none" w:sz="0" w:space="0" w:color="auto"/>
            <w:left w:val="none" w:sz="0" w:space="0" w:color="auto"/>
            <w:bottom w:val="none" w:sz="0" w:space="0" w:color="auto"/>
            <w:right w:val="none" w:sz="0" w:space="0" w:color="auto"/>
          </w:divBdr>
        </w:div>
        <w:div w:id="1873417203">
          <w:marLeft w:val="0"/>
          <w:marRight w:val="0"/>
          <w:marTop w:val="0"/>
          <w:marBottom w:val="0"/>
          <w:divBdr>
            <w:top w:val="none" w:sz="0" w:space="0" w:color="auto"/>
            <w:left w:val="none" w:sz="0" w:space="0" w:color="auto"/>
            <w:bottom w:val="none" w:sz="0" w:space="0" w:color="auto"/>
            <w:right w:val="none" w:sz="0" w:space="0" w:color="auto"/>
          </w:divBdr>
        </w:div>
        <w:div w:id="1859154312">
          <w:marLeft w:val="0"/>
          <w:marRight w:val="0"/>
          <w:marTop w:val="0"/>
          <w:marBottom w:val="0"/>
          <w:divBdr>
            <w:top w:val="none" w:sz="0" w:space="0" w:color="auto"/>
            <w:left w:val="none" w:sz="0" w:space="0" w:color="auto"/>
            <w:bottom w:val="none" w:sz="0" w:space="0" w:color="auto"/>
            <w:right w:val="none" w:sz="0" w:space="0" w:color="auto"/>
          </w:divBdr>
        </w:div>
        <w:div w:id="158008082">
          <w:marLeft w:val="0"/>
          <w:marRight w:val="0"/>
          <w:marTop w:val="0"/>
          <w:marBottom w:val="0"/>
          <w:divBdr>
            <w:top w:val="none" w:sz="0" w:space="0" w:color="auto"/>
            <w:left w:val="none" w:sz="0" w:space="0" w:color="auto"/>
            <w:bottom w:val="none" w:sz="0" w:space="0" w:color="auto"/>
            <w:right w:val="none" w:sz="0" w:space="0" w:color="auto"/>
          </w:divBdr>
        </w:div>
        <w:div w:id="1492403018">
          <w:marLeft w:val="0"/>
          <w:marRight w:val="0"/>
          <w:marTop w:val="0"/>
          <w:marBottom w:val="0"/>
          <w:divBdr>
            <w:top w:val="none" w:sz="0" w:space="0" w:color="auto"/>
            <w:left w:val="none" w:sz="0" w:space="0" w:color="auto"/>
            <w:bottom w:val="none" w:sz="0" w:space="0" w:color="auto"/>
            <w:right w:val="none" w:sz="0" w:space="0" w:color="auto"/>
          </w:divBdr>
        </w:div>
        <w:div w:id="186137981">
          <w:marLeft w:val="0"/>
          <w:marRight w:val="0"/>
          <w:marTop w:val="0"/>
          <w:marBottom w:val="0"/>
          <w:divBdr>
            <w:top w:val="none" w:sz="0" w:space="0" w:color="auto"/>
            <w:left w:val="none" w:sz="0" w:space="0" w:color="auto"/>
            <w:bottom w:val="none" w:sz="0" w:space="0" w:color="auto"/>
            <w:right w:val="none" w:sz="0" w:space="0" w:color="auto"/>
          </w:divBdr>
        </w:div>
        <w:div w:id="90856335">
          <w:marLeft w:val="0"/>
          <w:marRight w:val="0"/>
          <w:marTop w:val="0"/>
          <w:marBottom w:val="0"/>
          <w:divBdr>
            <w:top w:val="none" w:sz="0" w:space="0" w:color="auto"/>
            <w:left w:val="none" w:sz="0" w:space="0" w:color="auto"/>
            <w:bottom w:val="none" w:sz="0" w:space="0" w:color="auto"/>
            <w:right w:val="none" w:sz="0" w:space="0" w:color="auto"/>
          </w:divBdr>
        </w:div>
        <w:div w:id="313262882">
          <w:marLeft w:val="0"/>
          <w:marRight w:val="0"/>
          <w:marTop w:val="0"/>
          <w:marBottom w:val="0"/>
          <w:divBdr>
            <w:top w:val="none" w:sz="0" w:space="0" w:color="auto"/>
            <w:left w:val="none" w:sz="0" w:space="0" w:color="auto"/>
            <w:bottom w:val="none" w:sz="0" w:space="0" w:color="auto"/>
            <w:right w:val="none" w:sz="0" w:space="0" w:color="auto"/>
          </w:divBdr>
        </w:div>
        <w:div w:id="1125195283">
          <w:marLeft w:val="0"/>
          <w:marRight w:val="0"/>
          <w:marTop w:val="0"/>
          <w:marBottom w:val="0"/>
          <w:divBdr>
            <w:top w:val="none" w:sz="0" w:space="0" w:color="auto"/>
            <w:left w:val="none" w:sz="0" w:space="0" w:color="auto"/>
            <w:bottom w:val="none" w:sz="0" w:space="0" w:color="auto"/>
            <w:right w:val="none" w:sz="0" w:space="0" w:color="auto"/>
          </w:divBdr>
        </w:div>
        <w:div w:id="1090351487">
          <w:marLeft w:val="0"/>
          <w:marRight w:val="0"/>
          <w:marTop w:val="0"/>
          <w:marBottom w:val="0"/>
          <w:divBdr>
            <w:top w:val="none" w:sz="0" w:space="0" w:color="auto"/>
            <w:left w:val="none" w:sz="0" w:space="0" w:color="auto"/>
            <w:bottom w:val="none" w:sz="0" w:space="0" w:color="auto"/>
            <w:right w:val="none" w:sz="0" w:space="0" w:color="auto"/>
          </w:divBdr>
        </w:div>
        <w:div w:id="1175414637">
          <w:marLeft w:val="0"/>
          <w:marRight w:val="0"/>
          <w:marTop w:val="0"/>
          <w:marBottom w:val="0"/>
          <w:divBdr>
            <w:top w:val="none" w:sz="0" w:space="0" w:color="auto"/>
            <w:left w:val="none" w:sz="0" w:space="0" w:color="auto"/>
            <w:bottom w:val="none" w:sz="0" w:space="0" w:color="auto"/>
            <w:right w:val="none" w:sz="0" w:space="0" w:color="auto"/>
          </w:divBdr>
        </w:div>
        <w:div w:id="1697583067">
          <w:marLeft w:val="0"/>
          <w:marRight w:val="0"/>
          <w:marTop w:val="0"/>
          <w:marBottom w:val="0"/>
          <w:divBdr>
            <w:top w:val="none" w:sz="0" w:space="0" w:color="auto"/>
            <w:left w:val="none" w:sz="0" w:space="0" w:color="auto"/>
            <w:bottom w:val="none" w:sz="0" w:space="0" w:color="auto"/>
            <w:right w:val="none" w:sz="0" w:space="0" w:color="auto"/>
          </w:divBdr>
        </w:div>
        <w:div w:id="1302156865">
          <w:marLeft w:val="0"/>
          <w:marRight w:val="0"/>
          <w:marTop w:val="0"/>
          <w:marBottom w:val="0"/>
          <w:divBdr>
            <w:top w:val="none" w:sz="0" w:space="0" w:color="auto"/>
            <w:left w:val="none" w:sz="0" w:space="0" w:color="auto"/>
            <w:bottom w:val="none" w:sz="0" w:space="0" w:color="auto"/>
            <w:right w:val="none" w:sz="0" w:space="0" w:color="auto"/>
          </w:divBdr>
        </w:div>
        <w:div w:id="371419748">
          <w:marLeft w:val="0"/>
          <w:marRight w:val="0"/>
          <w:marTop w:val="0"/>
          <w:marBottom w:val="0"/>
          <w:divBdr>
            <w:top w:val="none" w:sz="0" w:space="0" w:color="auto"/>
            <w:left w:val="none" w:sz="0" w:space="0" w:color="auto"/>
            <w:bottom w:val="none" w:sz="0" w:space="0" w:color="auto"/>
            <w:right w:val="none" w:sz="0" w:space="0" w:color="auto"/>
          </w:divBdr>
        </w:div>
        <w:div w:id="367412679">
          <w:marLeft w:val="0"/>
          <w:marRight w:val="0"/>
          <w:marTop w:val="0"/>
          <w:marBottom w:val="0"/>
          <w:divBdr>
            <w:top w:val="none" w:sz="0" w:space="0" w:color="auto"/>
            <w:left w:val="none" w:sz="0" w:space="0" w:color="auto"/>
            <w:bottom w:val="none" w:sz="0" w:space="0" w:color="auto"/>
            <w:right w:val="none" w:sz="0" w:space="0" w:color="auto"/>
          </w:divBdr>
        </w:div>
        <w:div w:id="314646309">
          <w:marLeft w:val="0"/>
          <w:marRight w:val="0"/>
          <w:marTop w:val="0"/>
          <w:marBottom w:val="0"/>
          <w:divBdr>
            <w:top w:val="none" w:sz="0" w:space="0" w:color="auto"/>
            <w:left w:val="none" w:sz="0" w:space="0" w:color="auto"/>
            <w:bottom w:val="none" w:sz="0" w:space="0" w:color="auto"/>
            <w:right w:val="none" w:sz="0" w:space="0" w:color="auto"/>
          </w:divBdr>
        </w:div>
        <w:div w:id="1308631419">
          <w:marLeft w:val="0"/>
          <w:marRight w:val="0"/>
          <w:marTop w:val="0"/>
          <w:marBottom w:val="0"/>
          <w:divBdr>
            <w:top w:val="none" w:sz="0" w:space="0" w:color="auto"/>
            <w:left w:val="none" w:sz="0" w:space="0" w:color="auto"/>
            <w:bottom w:val="none" w:sz="0" w:space="0" w:color="auto"/>
            <w:right w:val="none" w:sz="0" w:space="0" w:color="auto"/>
          </w:divBdr>
        </w:div>
        <w:div w:id="1851139827">
          <w:marLeft w:val="0"/>
          <w:marRight w:val="0"/>
          <w:marTop w:val="0"/>
          <w:marBottom w:val="0"/>
          <w:divBdr>
            <w:top w:val="none" w:sz="0" w:space="0" w:color="auto"/>
            <w:left w:val="none" w:sz="0" w:space="0" w:color="auto"/>
            <w:bottom w:val="none" w:sz="0" w:space="0" w:color="auto"/>
            <w:right w:val="none" w:sz="0" w:space="0" w:color="auto"/>
          </w:divBdr>
        </w:div>
        <w:div w:id="1414429193">
          <w:marLeft w:val="0"/>
          <w:marRight w:val="0"/>
          <w:marTop w:val="0"/>
          <w:marBottom w:val="0"/>
          <w:divBdr>
            <w:top w:val="none" w:sz="0" w:space="0" w:color="auto"/>
            <w:left w:val="none" w:sz="0" w:space="0" w:color="auto"/>
            <w:bottom w:val="none" w:sz="0" w:space="0" w:color="auto"/>
            <w:right w:val="none" w:sz="0" w:space="0" w:color="auto"/>
          </w:divBdr>
        </w:div>
        <w:div w:id="1788037249">
          <w:marLeft w:val="0"/>
          <w:marRight w:val="0"/>
          <w:marTop w:val="0"/>
          <w:marBottom w:val="0"/>
          <w:divBdr>
            <w:top w:val="none" w:sz="0" w:space="0" w:color="auto"/>
            <w:left w:val="none" w:sz="0" w:space="0" w:color="auto"/>
            <w:bottom w:val="none" w:sz="0" w:space="0" w:color="auto"/>
            <w:right w:val="none" w:sz="0" w:space="0" w:color="auto"/>
          </w:divBdr>
        </w:div>
      </w:divsChild>
    </w:div>
    <w:div w:id="1916936325">
      <w:bodyDiv w:val="1"/>
      <w:marLeft w:val="0"/>
      <w:marRight w:val="0"/>
      <w:marTop w:val="0"/>
      <w:marBottom w:val="0"/>
      <w:divBdr>
        <w:top w:val="none" w:sz="0" w:space="0" w:color="auto"/>
        <w:left w:val="none" w:sz="0" w:space="0" w:color="auto"/>
        <w:bottom w:val="none" w:sz="0" w:space="0" w:color="auto"/>
        <w:right w:val="none" w:sz="0" w:space="0" w:color="auto"/>
      </w:divBdr>
      <w:divsChild>
        <w:div w:id="1142187095">
          <w:marLeft w:val="0"/>
          <w:marRight w:val="0"/>
          <w:marTop w:val="0"/>
          <w:marBottom w:val="0"/>
          <w:divBdr>
            <w:top w:val="none" w:sz="0" w:space="0" w:color="auto"/>
            <w:left w:val="none" w:sz="0" w:space="0" w:color="auto"/>
            <w:bottom w:val="none" w:sz="0" w:space="0" w:color="auto"/>
            <w:right w:val="none" w:sz="0" w:space="0" w:color="auto"/>
          </w:divBdr>
        </w:div>
        <w:div w:id="42559148">
          <w:marLeft w:val="0"/>
          <w:marRight w:val="0"/>
          <w:marTop w:val="0"/>
          <w:marBottom w:val="0"/>
          <w:divBdr>
            <w:top w:val="none" w:sz="0" w:space="0" w:color="auto"/>
            <w:left w:val="none" w:sz="0" w:space="0" w:color="auto"/>
            <w:bottom w:val="none" w:sz="0" w:space="0" w:color="auto"/>
            <w:right w:val="none" w:sz="0" w:space="0" w:color="auto"/>
          </w:divBdr>
        </w:div>
        <w:div w:id="1872766826">
          <w:marLeft w:val="0"/>
          <w:marRight w:val="0"/>
          <w:marTop w:val="0"/>
          <w:marBottom w:val="0"/>
          <w:divBdr>
            <w:top w:val="none" w:sz="0" w:space="0" w:color="auto"/>
            <w:left w:val="none" w:sz="0" w:space="0" w:color="auto"/>
            <w:bottom w:val="none" w:sz="0" w:space="0" w:color="auto"/>
            <w:right w:val="none" w:sz="0" w:space="0" w:color="auto"/>
          </w:divBdr>
        </w:div>
        <w:div w:id="541871490">
          <w:marLeft w:val="0"/>
          <w:marRight w:val="0"/>
          <w:marTop w:val="0"/>
          <w:marBottom w:val="0"/>
          <w:divBdr>
            <w:top w:val="none" w:sz="0" w:space="0" w:color="auto"/>
            <w:left w:val="none" w:sz="0" w:space="0" w:color="auto"/>
            <w:bottom w:val="none" w:sz="0" w:space="0" w:color="auto"/>
            <w:right w:val="none" w:sz="0" w:space="0" w:color="auto"/>
          </w:divBdr>
        </w:div>
        <w:div w:id="568542300">
          <w:marLeft w:val="0"/>
          <w:marRight w:val="0"/>
          <w:marTop w:val="0"/>
          <w:marBottom w:val="0"/>
          <w:divBdr>
            <w:top w:val="none" w:sz="0" w:space="0" w:color="auto"/>
            <w:left w:val="none" w:sz="0" w:space="0" w:color="auto"/>
            <w:bottom w:val="none" w:sz="0" w:space="0" w:color="auto"/>
            <w:right w:val="none" w:sz="0" w:space="0" w:color="auto"/>
          </w:divBdr>
        </w:div>
        <w:div w:id="686367888">
          <w:marLeft w:val="0"/>
          <w:marRight w:val="0"/>
          <w:marTop w:val="0"/>
          <w:marBottom w:val="0"/>
          <w:divBdr>
            <w:top w:val="none" w:sz="0" w:space="0" w:color="auto"/>
            <w:left w:val="none" w:sz="0" w:space="0" w:color="auto"/>
            <w:bottom w:val="none" w:sz="0" w:space="0" w:color="auto"/>
            <w:right w:val="none" w:sz="0" w:space="0" w:color="auto"/>
          </w:divBdr>
        </w:div>
        <w:div w:id="86999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81D0-1AB6-449C-B586-B65865E1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24</cp:revision>
  <cp:lastPrinted>2018-12-11T10:04:00Z</cp:lastPrinted>
  <dcterms:created xsi:type="dcterms:W3CDTF">2019-11-15T10:13:00Z</dcterms:created>
  <dcterms:modified xsi:type="dcterms:W3CDTF">2019-12-12T13:34:00Z</dcterms:modified>
</cp:coreProperties>
</file>